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9E0F7" w14:textId="523FF5C3" w:rsidR="00873E08" w:rsidRPr="00873E08" w:rsidRDefault="00873E08" w:rsidP="00873E08">
      <w:pPr>
        <w:pStyle w:val="CRCoverPage"/>
        <w:tabs>
          <w:tab w:val="left" w:pos="1980"/>
        </w:tabs>
        <w:spacing w:after="0"/>
        <w:jc w:val="both"/>
        <w:rPr>
          <w:rFonts w:ascii="Times New Roman" w:eastAsiaTheme="minorHAnsi" w:hAnsi="Times New Roman" w:cstheme="minorBidi"/>
          <w:b/>
          <w:bCs/>
          <w:sz w:val="28"/>
          <w:szCs w:val="32"/>
          <w:lang w:val="en-US"/>
        </w:rPr>
      </w:pPr>
      <w:r w:rsidRPr="00873E08">
        <w:rPr>
          <w:rFonts w:ascii="Times New Roman" w:eastAsiaTheme="minorHAnsi" w:hAnsi="Times New Roman"/>
          <w:b/>
          <w:bCs/>
          <w:sz w:val="28"/>
          <w:szCs w:val="32"/>
          <w:lang w:val="en-US"/>
        </w:rPr>
        <w:t>3GPP TSG RAN WG1 #114</w:t>
      </w:r>
      <w:r w:rsidRPr="00873E08">
        <w:rPr>
          <w:rFonts w:ascii="Times New Roman" w:eastAsiaTheme="minorHAnsi" w:hAnsi="Times New Roman" w:cstheme="minorBidi"/>
          <w:b/>
          <w:bCs/>
          <w:sz w:val="28"/>
          <w:szCs w:val="32"/>
          <w:lang w:val="en-US"/>
        </w:rPr>
        <w:t xml:space="preserve">bis                          </w:t>
      </w:r>
      <w:r w:rsidRPr="00873E08">
        <w:rPr>
          <w:rFonts w:ascii="Times New Roman" w:eastAsiaTheme="minorHAnsi" w:hAnsi="Times New Roman" w:cstheme="minorBidi"/>
          <w:b/>
          <w:bCs/>
          <w:sz w:val="28"/>
          <w:szCs w:val="32"/>
          <w:lang w:val="en-US"/>
        </w:rPr>
        <w:tab/>
        <w:t xml:space="preserve">   </w:t>
      </w:r>
      <w:r w:rsidRPr="00873E08">
        <w:rPr>
          <w:rFonts w:ascii="Times New Roman" w:eastAsiaTheme="minorHAnsi" w:hAnsi="Times New Roman" w:cstheme="minorBidi"/>
          <w:b/>
          <w:bCs/>
          <w:sz w:val="28"/>
          <w:szCs w:val="32"/>
          <w:lang w:val="en-US"/>
        </w:rPr>
        <w:tab/>
      </w:r>
      <w:r w:rsidRPr="00873E08">
        <w:rPr>
          <w:rFonts w:ascii="Times New Roman" w:eastAsiaTheme="minorHAnsi" w:hAnsi="Times New Roman" w:cstheme="minorBidi"/>
          <w:b/>
          <w:bCs/>
          <w:sz w:val="28"/>
          <w:szCs w:val="32"/>
          <w:lang w:val="en-US"/>
        </w:rPr>
        <w:tab/>
      </w:r>
      <w:r>
        <w:rPr>
          <w:rFonts w:ascii="Times New Roman" w:eastAsiaTheme="minorHAnsi" w:hAnsi="Times New Roman" w:cstheme="minorBidi"/>
          <w:b/>
          <w:bCs/>
          <w:sz w:val="28"/>
          <w:szCs w:val="32"/>
          <w:lang w:val="en-US"/>
        </w:rPr>
        <w:t xml:space="preserve">          </w:t>
      </w:r>
      <w:r w:rsidRPr="00873E08">
        <w:rPr>
          <w:rFonts w:ascii="Times New Roman" w:eastAsiaTheme="minorHAnsi" w:hAnsi="Times New Roman" w:cstheme="minorBidi"/>
          <w:b/>
          <w:bCs/>
          <w:sz w:val="28"/>
          <w:szCs w:val="32"/>
          <w:lang w:val="en-US"/>
        </w:rPr>
        <w:t>R1-</w:t>
      </w:r>
      <w:r w:rsidR="00187CF3" w:rsidRPr="00873E08">
        <w:rPr>
          <w:rFonts w:ascii="Times New Roman" w:eastAsiaTheme="minorHAnsi" w:hAnsi="Times New Roman" w:cstheme="minorBidi"/>
          <w:b/>
          <w:bCs/>
          <w:sz w:val="28"/>
          <w:szCs w:val="32"/>
          <w:lang w:val="en-US"/>
        </w:rPr>
        <w:t>23</w:t>
      </w:r>
      <w:r w:rsidR="00187CF3">
        <w:rPr>
          <w:rFonts w:ascii="Times New Roman" w:eastAsiaTheme="minorHAnsi" w:hAnsi="Times New Roman" w:cstheme="minorBidi"/>
          <w:b/>
          <w:bCs/>
          <w:sz w:val="28"/>
          <w:szCs w:val="32"/>
          <w:lang w:val="en-US"/>
        </w:rPr>
        <w:t>09955</w:t>
      </w:r>
    </w:p>
    <w:p w14:paraId="3A184750" w14:textId="77777777" w:rsidR="00873E08" w:rsidRPr="00873E08" w:rsidRDefault="00873E08" w:rsidP="00873E08">
      <w:pPr>
        <w:pStyle w:val="CRCoverPage"/>
        <w:tabs>
          <w:tab w:val="left" w:pos="1980"/>
        </w:tabs>
        <w:spacing w:after="0"/>
        <w:jc w:val="both"/>
        <w:rPr>
          <w:rFonts w:ascii="Times New Roman" w:eastAsiaTheme="minorHAnsi" w:hAnsi="Times New Roman" w:cstheme="minorBidi"/>
          <w:b/>
          <w:bCs/>
          <w:sz w:val="28"/>
          <w:szCs w:val="32"/>
          <w:lang w:val="en-US"/>
        </w:rPr>
      </w:pPr>
      <w:r w:rsidRPr="00873E08">
        <w:rPr>
          <w:rFonts w:ascii="Times New Roman" w:eastAsiaTheme="minorHAnsi" w:hAnsi="Times New Roman"/>
          <w:b/>
          <w:bCs/>
          <w:sz w:val="28"/>
          <w:szCs w:val="32"/>
          <w:lang w:val="en-US"/>
        </w:rPr>
        <w:t>Xiamen, China, October 9th – 13th, 2023</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7C1883C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3C3AAA">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3C3AAA">
        <w:rPr>
          <w:rFonts w:ascii="Times New Roman" w:hAnsi="Times New Roman"/>
          <w:b/>
          <w:bCs/>
          <w:sz w:val="22"/>
          <w:szCs w:val="22"/>
          <w:lang w:val="en-US"/>
        </w:rPr>
        <w:t>14</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61300C3C"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t>
      </w:r>
      <w:r w:rsidR="00B5549E">
        <w:t xml:space="preserve">were </w:t>
      </w:r>
      <w:r w:rsidR="00432EAF">
        <w:t>captured in chair notes</w:t>
      </w:r>
      <w:r w:rsidR="00B5549E">
        <w:t>,</w:t>
      </w:r>
      <w:r w:rsidR="00532234">
        <w:t xml:space="preserve"> </w:t>
      </w:r>
      <w:r w:rsidR="00B5549E">
        <w:t xml:space="preserve">which are </w:t>
      </w:r>
      <w:r w:rsidR="00532234">
        <w:t>listed in</w:t>
      </w:r>
      <w:r w:rsidR="00EB56C1">
        <w:t xml:space="preserve"> the</w:t>
      </w:r>
      <w:r w:rsidR="00532234">
        <w:t xml:space="preserve"> Appendix for reference</w:t>
      </w:r>
      <w:r w:rsidR="00432EAF">
        <w:t>.</w:t>
      </w:r>
    </w:p>
    <w:p w14:paraId="4678D333" w14:textId="0BBC6BD5" w:rsidR="00382828" w:rsidRDefault="00382828" w:rsidP="0093078A">
      <w:pPr>
        <w:spacing w:before="240"/>
      </w:pPr>
      <w:r>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w:t>
            </w:r>
            <w:proofErr w:type="gramStart"/>
            <w:r w:rsidRPr="003F683A">
              <w:rPr>
                <w:sz w:val="20"/>
                <w:szCs w:val="20"/>
              </w:rPr>
              <w:t>operations</w:t>
            </w:r>
            <w:proofErr w:type="gramEnd"/>
            <w:r w:rsidRPr="003F683A">
              <w:rPr>
                <w:sz w:val="20"/>
                <w:szCs w:val="20"/>
              </w:rPr>
              <w:t xml:space="preserve">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46457DA7" w:rsidR="00D5190E" w:rsidRDefault="00D5190E" w:rsidP="0093078A">
      <w:pPr>
        <w:spacing w:before="240"/>
      </w:pPr>
      <w:r>
        <w:t xml:space="preserve">In </w:t>
      </w:r>
      <w:r w:rsidR="00137FCD">
        <w:t>RAN1#111</w:t>
      </w:r>
      <w:r>
        <w:t xml:space="preserve">, further agreements were made on the </w:t>
      </w:r>
      <w:r w:rsidR="002A5371">
        <w:t xml:space="preserve">possible </w:t>
      </w:r>
      <w:r>
        <w:t xml:space="preserve">mechanisms </w:t>
      </w:r>
      <w:r w:rsidR="002A5371">
        <w:t xml:space="preserve">to study </w:t>
      </w:r>
      <w:r>
        <w:t xml:space="preserve">for LCM </w:t>
      </w:r>
      <w:proofErr w:type="gramStart"/>
      <w:r>
        <w:t>procedure</w:t>
      </w:r>
      <w:proofErr w:type="gramEnd"/>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 xml:space="preserve">For functionality-based LCM procedure: indication of activation/deactivation/switching/fallback based on individual AI/ML </w:t>
            </w:r>
            <w:proofErr w:type="gramStart"/>
            <w:r>
              <w:t>functionality</w:t>
            </w:r>
            <w:proofErr w:type="gramEnd"/>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3F589706" w14:textId="0F3800C2" w:rsidR="00137FCD" w:rsidRDefault="00137FCD" w:rsidP="00137FCD">
      <w:pPr>
        <w:spacing w:before="240"/>
      </w:pPr>
      <w:r>
        <w:t xml:space="preserve">In the </w:t>
      </w:r>
      <w:r w:rsidR="004008A8">
        <w:t>RAN1#112</w:t>
      </w:r>
      <w:r w:rsidR="00B1268B">
        <w:t xml:space="preserve"> </w:t>
      </w:r>
      <w:r>
        <w:t>[7], further agreements were made on various model identification mechanisms and LCM.</w:t>
      </w:r>
    </w:p>
    <w:tbl>
      <w:tblPr>
        <w:tblStyle w:val="TableGrid"/>
        <w:tblW w:w="0" w:type="auto"/>
        <w:tblLook w:val="04A0" w:firstRow="1" w:lastRow="0" w:firstColumn="1" w:lastColumn="0" w:noHBand="0" w:noVBand="1"/>
      </w:tblPr>
      <w:tblGrid>
        <w:gridCol w:w="9350"/>
      </w:tblGrid>
      <w:tr w:rsidR="00137FCD" w14:paraId="722ED299" w14:textId="77777777" w:rsidTr="00AA327C">
        <w:tc>
          <w:tcPr>
            <w:tcW w:w="9350" w:type="dxa"/>
          </w:tcPr>
          <w:p w14:paraId="331C1D1F" w14:textId="77777777" w:rsidR="00137FCD" w:rsidRDefault="00137FCD" w:rsidP="00137FC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95FCB6" w14:textId="77777777" w:rsidR="00137FCD" w:rsidRDefault="00137FCD" w:rsidP="00137FCD">
            <w:r>
              <w:t>For UE-side models and UE-part of two-sided models:</w:t>
            </w:r>
          </w:p>
          <w:p w14:paraId="0D0CB2C7" w14:textId="77777777" w:rsidR="00137FCD" w:rsidRPr="00137FCD" w:rsidRDefault="00137FCD" w:rsidP="00584EB7">
            <w:pPr>
              <w:pStyle w:val="ListParagraph"/>
              <w:numPr>
                <w:ilvl w:val="0"/>
                <w:numId w:val="25"/>
              </w:numPr>
              <w:jc w:val="left"/>
            </w:pPr>
            <w:r w:rsidRPr="00137FCD">
              <w:t xml:space="preserve">For AI/ML </w:t>
            </w:r>
            <w:r w:rsidRPr="00584EB7">
              <w:t>functionality</w:t>
            </w:r>
            <w:r w:rsidRPr="00137FCD">
              <w:t xml:space="preserve"> identification</w:t>
            </w:r>
          </w:p>
          <w:p w14:paraId="3B333BE8" w14:textId="77777777" w:rsidR="00137FCD" w:rsidRPr="00137FCD" w:rsidRDefault="00137FCD" w:rsidP="00584EB7">
            <w:pPr>
              <w:pStyle w:val="ListParagraph"/>
              <w:numPr>
                <w:ilvl w:val="1"/>
                <w:numId w:val="25"/>
              </w:numPr>
              <w:jc w:val="left"/>
            </w:pPr>
            <w:r w:rsidRPr="00137FCD">
              <w:t xml:space="preserve">Reuse legacy 3GPP framework of </w:t>
            </w:r>
            <w:r w:rsidRPr="00584EB7">
              <w:t>Features</w:t>
            </w:r>
            <w:r w:rsidRPr="00137FCD">
              <w:t xml:space="preserve"> as a starting point for discussion.</w:t>
            </w:r>
          </w:p>
          <w:p w14:paraId="378E154A" w14:textId="77777777" w:rsidR="00137FCD" w:rsidRPr="00137FCD" w:rsidRDefault="00137FCD" w:rsidP="00584EB7">
            <w:pPr>
              <w:pStyle w:val="ListParagraph"/>
              <w:numPr>
                <w:ilvl w:val="1"/>
                <w:numId w:val="25"/>
              </w:numPr>
              <w:jc w:val="left"/>
            </w:pPr>
            <w:r w:rsidRPr="00137FCD">
              <w:t>UE indicates supported functionalitie</w:t>
            </w:r>
            <w:r w:rsidRPr="00584EB7">
              <w:t>s</w:t>
            </w:r>
            <w:r w:rsidRPr="00137FCD">
              <w:t xml:space="preserve">/functionality for a </w:t>
            </w:r>
            <w:r w:rsidRPr="00584EB7">
              <w:t>given</w:t>
            </w:r>
            <w:r w:rsidRPr="00137FCD">
              <w:t xml:space="preserve"> sub-use-case.</w:t>
            </w:r>
          </w:p>
          <w:p w14:paraId="60D381D6" w14:textId="77777777" w:rsidR="00137FCD" w:rsidRPr="00137FCD" w:rsidRDefault="00137FCD" w:rsidP="00584EB7">
            <w:pPr>
              <w:pStyle w:val="ListParagraph"/>
              <w:numPr>
                <w:ilvl w:val="2"/>
                <w:numId w:val="25"/>
              </w:numPr>
              <w:jc w:val="left"/>
            </w:pPr>
            <w:r w:rsidRPr="00137FCD">
              <w:rPr>
                <w:rFonts w:eastAsia="DengXian"/>
                <w:lang w:eastAsia="zh-CN"/>
              </w:rPr>
              <w:lastRenderedPageBreak/>
              <w:t>UE capability reporting is taken as starting point.</w:t>
            </w:r>
          </w:p>
          <w:p w14:paraId="2D28D34C" w14:textId="77777777" w:rsidR="00137FCD" w:rsidRPr="00137FCD" w:rsidRDefault="00137FCD" w:rsidP="00584EB7">
            <w:pPr>
              <w:pStyle w:val="ListParagraph"/>
              <w:numPr>
                <w:ilvl w:val="0"/>
                <w:numId w:val="25"/>
              </w:numPr>
              <w:jc w:val="left"/>
            </w:pPr>
            <w:r w:rsidRPr="00137FCD">
              <w:t xml:space="preserve">For AI/ML model </w:t>
            </w:r>
            <w:r w:rsidRPr="00584EB7">
              <w:t>identification</w:t>
            </w:r>
            <w:r w:rsidRPr="00137FCD">
              <w:t xml:space="preserve"> </w:t>
            </w:r>
          </w:p>
          <w:p w14:paraId="123EDB4F" w14:textId="77777777" w:rsidR="00137FCD" w:rsidRPr="00137FCD" w:rsidRDefault="00137FCD" w:rsidP="00584EB7">
            <w:pPr>
              <w:pStyle w:val="ListParagraph"/>
              <w:numPr>
                <w:ilvl w:val="1"/>
                <w:numId w:val="25"/>
              </w:numPr>
              <w:jc w:val="left"/>
            </w:pPr>
            <w:r w:rsidRPr="00137FCD">
              <w:t>Models are identified by model ID at the Network. UE indicates supported AI/ML models.</w:t>
            </w:r>
          </w:p>
          <w:p w14:paraId="1070313B" w14:textId="77777777" w:rsidR="00137FCD" w:rsidRPr="00137FCD" w:rsidRDefault="00137FCD" w:rsidP="00584EB7">
            <w:pPr>
              <w:pStyle w:val="ListParagraph"/>
              <w:numPr>
                <w:ilvl w:val="0"/>
                <w:numId w:val="25"/>
              </w:numPr>
              <w:jc w:val="left"/>
            </w:pPr>
            <w:r w:rsidRPr="00137FCD">
              <w:t xml:space="preserve">In </w:t>
            </w:r>
            <w:r w:rsidRPr="00584EB7">
              <w:t>functionality</w:t>
            </w:r>
            <w:r w:rsidRPr="00137FCD">
              <w:t>-based LCM</w:t>
            </w:r>
          </w:p>
          <w:p w14:paraId="3B1D5B82" w14:textId="77777777" w:rsidR="00137FCD" w:rsidRPr="00137FCD" w:rsidRDefault="00137FCD" w:rsidP="00584EB7">
            <w:pPr>
              <w:pStyle w:val="ListParagraph"/>
              <w:numPr>
                <w:ilvl w:val="1"/>
                <w:numId w:val="25"/>
              </w:numPr>
              <w:jc w:val="left"/>
            </w:pPr>
            <w:r w:rsidRPr="00137FCD">
              <w:t xml:space="preserve">Network indicates activation/deactivation/fallback/switching of AI/ML functionality via 3GPP signaling (e.g., RRC, MAC-CE, DCI). </w:t>
            </w:r>
          </w:p>
          <w:p w14:paraId="704C511B" w14:textId="77777777" w:rsidR="00137FCD" w:rsidRPr="00137FCD" w:rsidRDefault="00137FCD" w:rsidP="00584EB7">
            <w:pPr>
              <w:pStyle w:val="ListParagraph"/>
              <w:numPr>
                <w:ilvl w:val="1"/>
                <w:numId w:val="25"/>
              </w:numPr>
              <w:jc w:val="left"/>
            </w:pPr>
            <w:r w:rsidRPr="00137FCD">
              <w:t xml:space="preserve">Models may </w:t>
            </w:r>
            <w:r w:rsidRPr="00584EB7">
              <w:t>not</w:t>
            </w:r>
            <w:r w:rsidRPr="00137FCD">
              <w:t xml:space="preserve"> be </w:t>
            </w:r>
            <w:r w:rsidRPr="00584EB7">
              <w:t>identified</w:t>
            </w:r>
            <w:r w:rsidRPr="00137FCD">
              <w:t xml:space="preserve"> at the Network, and </w:t>
            </w:r>
            <w:r w:rsidRPr="00584EB7">
              <w:t>UE</w:t>
            </w:r>
            <w:r w:rsidRPr="00137FCD">
              <w:t xml:space="preserve"> may perform </w:t>
            </w:r>
            <w:r w:rsidRPr="00584EB7">
              <w:t>model-level LCM.</w:t>
            </w:r>
          </w:p>
          <w:p w14:paraId="3AD07291" w14:textId="77777777" w:rsidR="00137FCD" w:rsidRPr="00137FCD" w:rsidRDefault="00137FCD" w:rsidP="00584EB7">
            <w:pPr>
              <w:pStyle w:val="ListParagraph"/>
              <w:numPr>
                <w:ilvl w:val="2"/>
                <w:numId w:val="25"/>
              </w:numPr>
              <w:jc w:val="left"/>
            </w:pPr>
            <w:r w:rsidRPr="00137FCD">
              <w:t xml:space="preserve">Study whether and </w:t>
            </w:r>
            <w:r w:rsidRPr="00584EB7">
              <w:t>how much awareness</w:t>
            </w:r>
            <w:r w:rsidRPr="00137FCD">
              <w:t xml:space="preserve">/interaction NW should have about model-level </w:t>
            </w:r>
            <w:proofErr w:type="gramStart"/>
            <w:r w:rsidRPr="00137FCD">
              <w:t>LCM</w:t>
            </w:r>
            <w:proofErr w:type="gramEnd"/>
          </w:p>
          <w:p w14:paraId="748D7783" w14:textId="4928B4AE" w:rsidR="00137FCD" w:rsidRDefault="00137FCD" w:rsidP="00584EB7">
            <w:pPr>
              <w:pStyle w:val="ListParagraph"/>
              <w:numPr>
                <w:ilvl w:val="0"/>
                <w:numId w:val="25"/>
              </w:numPr>
              <w:jc w:val="left"/>
            </w:pPr>
            <w:r w:rsidRPr="00137FCD">
              <w:t xml:space="preserve">In model-ID-based LCM, models are identified at the Network, and Network/UE may activate/deactivate/select/switch individual AI/ML models via model ID. </w:t>
            </w:r>
          </w:p>
        </w:tc>
      </w:tr>
    </w:tbl>
    <w:p w14:paraId="73F297B1" w14:textId="007C315F" w:rsidR="004008A8" w:rsidRDefault="004008A8" w:rsidP="0093078A">
      <w:pPr>
        <w:spacing w:before="240"/>
      </w:pPr>
      <w:r w:rsidRPr="004008A8">
        <w:lastRenderedPageBreak/>
        <w:t xml:space="preserve">In </w:t>
      </w:r>
      <w:r w:rsidR="000D045C">
        <w:t>RAN1 #112b</w:t>
      </w:r>
      <w:r w:rsidRPr="004008A8">
        <w:t xml:space="preserve"> [</w:t>
      </w:r>
      <w:r>
        <w:t>8</w:t>
      </w:r>
      <w:r w:rsidRPr="004008A8">
        <w:t xml:space="preserve">], </w:t>
      </w:r>
      <w:r>
        <w:t>following</w:t>
      </w:r>
      <w:r w:rsidRPr="004008A8">
        <w:t xml:space="preserve"> agreements were made on </w:t>
      </w:r>
      <w:r>
        <w:t>functionality-based LCM and model-ID based LCM</w:t>
      </w:r>
      <w:r w:rsidRPr="004008A8">
        <w:t>.</w:t>
      </w:r>
    </w:p>
    <w:tbl>
      <w:tblPr>
        <w:tblStyle w:val="TableGrid"/>
        <w:tblW w:w="0" w:type="auto"/>
        <w:tblLook w:val="04A0" w:firstRow="1" w:lastRow="0" w:firstColumn="1" w:lastColumn="0" w:noHBand="0" w:noVBand="1"/>
      </w:tblPr>
      <w:tblGrid>
        <w:gridCol w:w="9350"/>
      </w:tblGrid>
      <w:tr w:rsidR="004008A8" w14:paraId="1CB0BF01" w14:textId="77777777" w:rsidTr="004E56CE">
        <w:tc>
          <w:tcPr>
            <w:tcW w:w="9350" w:type="dxa"/>
          </w:tcPr>
          <w:p w14:paraId="5BD9F1D6" w14:textId="77777777" w:rsidR="004008A8" w:rsidRPr="0068301B" w:rsidRDefault="004008A8" w:rsidP="004008A8">
            <w:pPr>
              <w:rPr>
                <w:highlight w:val="green"/>
                <w:lang w:eastAsia="x-none"/>
              </w:rPr>
            </w:pPr>
            <w:r w:rsidRPr="0068301B">
              <w:rPr>
                <w:rFonts w:hint="eastAsia"/>
                <w:highlight w:val="green"/>
                <w:lang w:eastAsia="x-none"/>
              </w:rPr>
              <w:t>A</w:t>
            </w:r>
            <w:r w:rsidRPr="0068301B">
              <w:rPr>
                <w:highlight w:val="green"/>
                <w:lang w:eastAsia="x-none"/>
              </w:rPr>
              <w:t>greement</w:t>
            </w:r>
          </w:p>
          <w:p w14:paraId="531F91D5" w14:textId="77777777" w:rsidR="004008A8" w:rsidRPr="0084210C" w:rsidRDefault="004008A8" w:rsidP="004008A8">
            <w:pPr>
              <w:numPr>
                <w:ilvl w:val="0"/>
                <w:numId w:val="42"/>
              </w:numPr>
              <w:jc w:val="left"/>
              <w:rPr>
                <w:lang w:eastAsia="x-none"/>
              </w:rPr>
            </w:pPr>
            <w:r w:rsidRPr="0084210C">
              <w:rPr>
                <w:lang w:eastAsia="x-none"/>
              </w:rPr>
              <w:t>For AI/ML functionality identification and functionality-based LCM of UE-side models and/or UE-part of two-sided models:</w:t>
            </w:r>
          </w:p>
          <w:p w14:paraId="7D2A7237" w14:textId="77777777" w:rsidR="004008A8" w:rsidRPr="0084210C" w:rsidRDefault="004008A8" w:rsidP="004008A8">
            <w:pPr>
              <w:pStyle w:val="ListParagraph"/>
              <w:numPr>
                <w:ilvl w:val="1"/>
                <w:numId w:val="41"/>
              </w:numPr>
              <w:spacing w:line="360" w:lineRule="auto"/>
              <w:jc w:val="left"/>
            </w:pPr>
            <w:r w:rsidRPr="0084210C">
              <w:t>Functionality refers to</w:t>
            </w:r>
            <w:r w:rsidRPr="0084210C">
              <w:rPr>
                <w:rFonts w:eastAsia="MS Mincho"/>
              </w:rPr>
              <w:t xml:space="preserve"> an AI/ML-</w:t>
            </w:r>
            <w:r>
              <w:rPr>
                <w:rFonts w:eastAsia="MS Mincho"/>
              </w:rPr>
              <w:t xml:space="preserve">enabled </w:t>
            </w:r>
            <w:r w:rsidRPr="0084210C">
              <w:rPr>
                <w:rFonts w:eastAsia="MS Mincho"/>
              </w:rPr>
              <w:t>Feature/FG</w:t>
            </w:r>
            <w:r>
              <w:rPr>
                <w:rFonts w:eastAsia="MS Mincho"/>
              </w:rPr>
              <w:t xml:space="preserve"> enabled by configuration(s)</w:t>
            </w:r>
            <w:r w:rsidRPr="0084210C">
              <w:rPr>
                <w:rFonts w:eastAsia="MS Mincho"/>
              </w:rPr>
              <w:t>, where configuration(s) is(are) supported based on conditions indicated by UE capability.</w:t>
            </w:r>
          </w:p>
          <w:p w14:paraId="606CA004" w14:textId="77777777" w:rsidR="004008A8" w:rsidRPr="0084210C" w:rsidRDefault="004008A8" w:rsidP="004008A8">
            <w:pPr>
              <w:pStyle w:val="ListParagraph"/>
              <w:numPr>
                <w:ilvl w:val="1"/>
                <w:numId w:val="41"/>
              </w:numPr>
              <w:spacing w:line="360" w:lineRule="auto"/>
              <w:jc w:val="left"/>
              <w:rPr>
                <w:rFonts w:eastAsia="MS Mincho"/>
              </w:rPr>
            </w:pPr>
            <w:r w:rsidRPr="0084210C">
              <w:t>Correspo</w:t>
            </w:r>
            <w:r w:rsidRPr="0084210C">
              <w:rPr>
                <w:rFonts w:eastAsia="MS Mincho"/>
              </w:rPr>
              <w:t>ndingly, functionality-based LCM operates based on, at least, one configuration of AI/ML-enabled Feature/FG or specific configurations of an AI/ML-enabled Feature/FG.</w:t>
            </w:r>
          </w:p>
          <w:p w14:paraId="424392FE" w14:textId="77777777" w:rsidR="004008A8" w:rsidRPr="0084210C" w:rsidRDefault="004008A8" w:rsidP="004008A8">
            <w:pPr>
              <w:pStyle w:val="ListParagraph"/>
              <w:numPr>
                <w:ilvl w:val="2"/>
                <w:numId w:val="41"/>
              </w:numPr>
              <w:spacing w:line="360" w:lineRule="auto"/>
              <w:jc w:val="left"/>
              <w:rPr>
                <w:rFonts w:eastAsia="MS Mincho"/>
              </w:rPr>
            </w:pPr>
            <w:r w:rsidRPr="0084210C">
              <w:rPr>
                <w:rFonts w:eastAsia="MS Mincho"/>
              </w:rPr>
              <w:t xml:space="preserve">FFS: </w:t>
            </w:r>
            <w:r w:rsidRPr="0084210C">
              <w:rPr>
                <w:rFonts w:eastAsia="MS Mincho" w:hint="eastAsia"/>
              </w:rPr>
              <w:t>S</w:t>
            </w:r>
            <w:r w:rsidRPr="0084210C">
              <w:rPr>
                <w:rFonts w:eastAsia="MS Mincho"/>
              </w:rPr>
              <w:t>ignaling to support functionality-based LCM operations, e.g., to activate/deactivate/fallback/switch AI/ML functionalities</w:t>
            </w:r>
          </w:p>
          <w:p w14:paraId="356AF670"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Whether/how to address additional conditions (e.g., scenarios, sites, and datasets) to aid UE-side transparent model operat</w:t>
            </w:r>
            <w:r w:rsidRPr="0084210C">
              <w:t>ions (without model identification) at the Functionality level</w:t>
            </w:r>
          </w:p>
          <w:p w14:paraId="637CEA32"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Other aspects that may constitute Functionality</w:t>
            </w:r>
          </w:p>
          <w:p w14:paraId="4A317341" w14:textId="77777777" w:rsidR="004008A8" w:rsidRPr="0084210C" w:rsidRDefault="004008A8" w:rsidP="004008A8">
            <w:pPr>
              <w:pStyle w:val="ListParagraph"/>
              <w:numPr>
                <w:ilvl w:val="1"/>
                <w:numId w:val="41"/>
              </w:numPr>
              <w:spacing w:line="360" w:lineRule="auto"/>
            </w:pPr>
            <w:r w:rsidRPr="0084210C">
              <w:t>FFS: which aspects should be specified as conditions of a Feature/FG available for functionality will be discussed in each sub-use-case agenda.</w:t>
            </w:r>
          </w:p>
          <w:p w14:paraId="661F5E73" w14:textId="77777777" w:rsidR="004008A8" w:rsidRPr="0084210C" w:rsidRDefault="004008A8" w:rsidP="004008A8">
            <w:pPr>
              <w:numPr>
                <w:ilvl w:val="0"/>
                <w:numId w:val="42"/>
              </w:numPr>
              <w:jc w:val="left"/>
              <w:rPr>
                <w:rFonts w:ascii="Calibri" w:eastAsia="SimSun" w:hAnsi="Calibri" w:cs="Arial"/>
              </w:rPr>
            </w:pPr>
            <w:r w:rsidRPr="0084210C">
              <w:rPr>
                <w:lang w:eastAsia="x-none"/>
              </w:rPr>
              <w:t>For AI/ML model identification and model-ID-based LCM of UE-side models and/or UE-part of two-sided models:</w:t>
            </w:r>
          </w:p>
          <w:p w14:paraId="5C7759D0" w14:textId="77777777" w:rsidR="004008A8" w:rsidRPr="0084210C" w:rsidRDefault="004008A8" w:rsidP="004008A8">
            <w:pPr>
              <w:pStyle w:val="ListParagraph"/>
              <w:numPr>
                <w:ilvl w:val="1"/>
                <w:numId w:val="41"/>
              </w:numPr>
              <w:spacing w:line="360" w:lineRule="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69BD59F3" w14:textId="77777777" w:rsidR="004008A8" w:rsidRPr="0084210C" w:rsidRDefault="004008A8" w:rsidP="004008A8">
            <w:pPr>
              <w:pStyle w:val="ListParagraph"/>
              <w:numPr>
                <w:ilvl w:val="1"/>
                <w:numId w:val="41"/>
              </w:numPr>
              <w:spacing w:line="360" w:lineRule="auto"/>
            </w:pPr>
            <w:r w:rsidRPr="0084210C">
              <w:lastRenderedPageBreak/>
              <w:t>FFS: Which aspects should be considered as additional conditions, and how to include them into model description information during model identification will be discussed in each sub-use-case agenda.</w:t>
            </w:r>
          </w:p>
          <w:p w14:paraId="2030B3DE" w14:textId="77777777" w:rsidR="004008A8" w:rsidRPr="0084210C" w:rsidRDefault="004008A8" w:rsidP="004008A8">
            <w:pPr>
              <w:pStyle w:val="ListParagraph"/>
              <w:numPr>
                <w:ilvl w:val="1"/>
                <w:numId w:val="41"/>
              </w:numPr>
              <w:spacing w:line="360" w:lineRule="auto"/>
            </w:pPr>
            <w:r w:rsidRPr="0084210C">
              <w:t>FFS: Relationship between functionality and model, e.g., whether a model may be identified referring to functionality(s).</w:t>
            </w:r>
          </w:p>
          <w:p w14:paraId="07711768" w14:textId="77777777" w:rsidR="004008A8" w:rsidRPr="0084210C" w:rsidRDefault="004008A8" w:rsidP="004008A8">
            <w:pPr>
              <w:pStyle w:val="ListParagraph"/>
              <w:numPr>
                <w:ilvl w:val="1"/>
                <w:numId w:val="41"/>
              </w:numPr>
              <w:spacing w:line="360" w:lineRule="auto"/>
            </w:pPr>
            <w:r w:rsidRPr="0084210C">
              <w:t>FFS: relationship between functionality-based LCM and model-ID-based LCM</w:t>
            </w:r>
          </w:p>
          <w:p w14:paraId="5CED7510" w14:textId="679A9D16" w:rsidR="004008A8" w:rsidRDefault="004008A8" w:rsidP="003B6E93">
            <w:pPr>
              <w:pStyle w:val="ListParagraph"/>
              <w:numPr>
                <w:ilvl w:val="0"/>
                <w:numId w:val="41"/>
              </w:numPr>
              <w:spacing w:line="360" w:lineRule="auto"/>
            </w:pPr>
            <w:r w:rsidRPr="0084210C">
              <w:t>Note: Applicability of functionality-based LCM and model-ID-based LCM is a separate discussion.</w:t>
            </w:r>
          </w:p>
        </w:tc>
      </w:tr>
    </w:tbl>
    <w:p w14:paraId="3A15D688" w14:textId="7E1889C0" w:rsidR="004008A8" w:rsidRDefault="00DD1FBC" w:rsidP="0093078A">
      <w:pPr>
        <w:spacing w:before="240"/>
      </w:pPr>
      <w:r>
        <w:lastRenderedPageBreak/>
        <w:t xml:space="preserve">In </w:t>
      </w:r>
      <w:r w:rsidR="00914BF2">
        <w:t xml:space="preserve">RAN1 #113 </w:t>
      </w:r>
      <w:r w:rsidR="00914BF2">
        <w:fldChar w:fldCharType="begin"/>
      </w:r>
      <w:r w:rsidR="00914BF2">
        <w:instrText xml:space="preserve"> REF _Ref142606919 \n \h </w:instrText>
      </w:r>
      <w:r w:rsidR="00914BF2">
        <w:fldChar w:fldCharType="separate"/>
      </w:r>
      <w:r w:rsidR="00761A2A">
        <w:t>[9]</w:t>
      </w:r>
      <w:r w:rsidR="00914BF2">
        <w:fldChar w:fldCharType="end"/>
      </w:r>
      <w:r w:rsidR="00914BF2">
        <w:t xml:space="preserve">, </w:t>
      </w:r>
      <w:r w:rsidR="00007B78">
        <w:t xml:space="preserve">it was agreed to study </w:t>
      </w:r>
      <w:r w:rsidR="006D02CB">
        <w:t>methods to assess</w:t>
      </w:r>
      <w:r w:rsidR="008E21DF">
        <w:t xml:space="preserve">/monitor inactive models, as </w:t>
      </w:r>
      <w:r w:rsidR="00BD0271">
        <w:t>shown below</w:t>
      </w:r>
      <w:r w:rsidR="007D5F83">
        <w:t>.</w:t>
      </w:r>
      <w:r w:rsidR="00765C77">
        <w:t xml:space="preserve"> </w:t>
      </w:r>
      <w:r w:rsidR="00914BF2">
        <w:t xml:space="preserve"> </w:t>
      </w:r>
    </w:p>
    <w:tbl>
      <w:tblPr>
        <w:tblStyle w:val="TableGrid"/>
        <w:tblW w:w="0" w:type="auto"/>
        <w:tblLook w:val="04A0" w:firstRow="1" w:lastRow="0" w:firstColumn="1" w:lastColumn="0" w:noHBand="0" w:noVBand="1"/>
      </w:tblPr>
      <w:tblGrid>
        <w:gridCol w:w="9350"/>
      </w:tblGrid>
      <w:tr w:rsidR="007D5F83" w14:paraId="3616C678" w14:textId="77777777" w:rsidTr="007D5F83">
        <w:tc>
          <w:tcPr>
            <w:tcW w:w="9350" w:type="dxa"/>
          </w:tcPr>
          <w:p w14:paraId="39A84402" w14:textId="77777777" w:rsidR="00F8158E" w:rsidRPr="00497D92" w:rsidRDefault="00F8158E" w:rsidP="00F8158E">
            <w:pPr>
              <w:autoSpaceDE w:val="0"/>
              <w:autoSpaceDN w:val="0"/>
              <w:adjustRightInd w:val="0"/>
              <w:snapToGrid w:val="0"/>
              <w:rPr>
                <w:rFonts w:eastAsia="SimSun"/>
                <w:bCs/>
                <w:iCs/>
                <w:color w:val="000000"/>
                <w:szCs w:val="20"/>
                <w:highlight w:val="green"/>
                <w:lang w:eastAsia="zh-CN"/>
              </w:rPr>
            </w:pPr>
            <w:r w:rsidRPr="00497D92">
              <w:rPr>
                <w:rFonts w:eastAsia="SimSun"/>
                <w:bCs/>
                <w:iCs/>
                <w:color w:val="000000"/>
                <w:szCs w:val="20"/>
                <w:highlight w:val="green"/>
                <w:lang w:eastAsia="zh-CN"/>
              </w:rPr>
              <w:t>Agreement</w:t>
            </w:r>
          </w:p>
          <w:p w14:paraId="0745E44F" w14:textId="77777777" w:rsidR="00F8158E" w:rsidRPr="00497D92" w:rsidRDefault="00F8158E" w:rsidP="00F8158E">
            <w:pPr>
              <w:autoSpaceDE w:val="0"/>
              <w:autoSpaceDN w:val="0"/>
              <w:adjustRightInd w:val="0"/>
              <w:snapToGrid w:val="0"/>
              <w:rPr>
                <w:rFonts w:eastAsia="SimSun"/>
                <w:bCs/>
                <w:iCs/>
                <w:szCs w:val="20"/>
                <w:lang w:eastAsia="zh-CN"/>
              </w:rPr>
            </w:pPr>
            <w:proofErr w:type="gramStart"/>
            <w:r w:rsidRPr="00497D92">
              <w:rPr>
                <w:rFonts w:eastAsia="SimSun"/>
                <w:bCs/>
                <w:iCs/>
                <w:szCs w:val="20"/>
                <w:lang w:eastAsia="zh-CN"/>
              </w:rPr>
              <w:t>For the purpose of</w:t>
            </w:r>
            <w:proofErr w:type="gramEnd"/>
            <w:r w:rsidRPr="00497D92">
              <w:rPr>
                <w:rFonts w:eastAsia="SimSun"/>
                <w:bCs/>
                <w:iCs/>
                <w:szCs w:val="20"/>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F546D8A"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the additional conditions associated with the model/</w:t>
            </w:r>
            <w:proofErr w:type="gramStart"/>
            <w:r w:rsidRPr="00497D92">
              <w:rPr>
                <w:rFonts w:eastAsia="SimSun"/>
                <w:bCs/>
                <w:iCs/>
                <w:szCs w:val="20"/>
                <w:lang w:eastAsia="zh-CN"/>
              </w:rPr>
              <w:t>functionality</w:t>
            </w:r>
            <w:proofErr w:type="gramEnd"/>
          </w:p>
          <w:p w14:paraId="04FAFB83"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 xml:space="preserve">Assessment/Monitoring based on input/output data </w:t>
            </w:r>
            <w:proofErr w:type="gramStart"/>
            <w:r w:rsidRPr="00497D92">
              <w:rPr>
                <w:rFonts w:eastAsia="SimSun"/>
                <w:bCs/>
                <w:iCs/>
                <w:szCs w:val="20"/>
                <w:lang w:eastAsia="zh-CN"/>
              </w:rPr>
              <w:t>distribution</w:t>
            </w:r>
            <w:proofErr w:type="gramEnd"/>
          </w:p>
          <w:p w14:paraId="2B8F82CB"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 xml:space="preserve">Assessment/Monitoring using the inactive model/functionality for monitoring purpose and measuring the inference </w:t>
            </w:r>
            <w:proofErr w:type="gramStart"/>
            <w:r w:rsidRPr="00497D92">
              <w:rPr>
                <w:rFonts w:eastAsia="SimSun"/>
                <w:bCs/>
                <w:iCs/>
                <w:szCs w:val="20"/>
                <w:lang w:eastAsia="zh-CN"/>
              </w:rPr>
              <w:t>accuracy</w:t>
            </w:r>
            <w:proofErr w:type="gramEnd"/>
          </w:p>
          <w:p w14:paraId="3B99740C"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past knowledge of the performance of the same model/functionality (e.g., based on other UEs)</w:t>
            </w:r>
          </w:p>
          <w:p w14:paraId="0905C315" w14:textId="77777777" w:rsidR="00F8158E" w:rsidRPr="00497D92" w:rsidRDefault="00F8158E" w:rsidP="00F8158E">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Requirements for the assessment/monitoring to be reliable (e.g., sufficient data coverage during evaluation)</w:t>
            </w:r>
          </w:p>
          <w:p w14:paraId="1B4B62B7" w14:textId="33A75033" w:rsidR="007D5F83" w:rsidRPr="00E42909" w:rsidRDefault="00F8158E" w:rsidP="00E42909">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Additional aspects specific to the case where the inactive model has never been activated before, if any.</w:t>
            </w:r>
          </w:p>
        </w:tc>
      </w:tr>
    </w:tbl>
    <w:p w14:paraId="11852607" w14:textId="77777777" w:rsidR="00F11F0A" w:rsidRDefault="00F11F0A" w:rsidP="00F11F0A">
      <w:pPr>
        <w:spacing w:before="240"/>
      </w:pPr>
      <w:r>
        <w:t xml:space="preserve">In RAN1 #114 </w:t>
      </w:r>
      <w:r>
        <w:fldChar w:fldCharType="begin"/>
      </w:r>
      <w:r>
        <w:instrText xml:space="preserve"> REF _Ref142606919 \n \h </w:instrText>
      </w:r>
      <w:r>
        <w:fldChar w:fldCharType="separate"/>
      </w:r>
      <w:r>
        <w:t>[10]</w:t>
      </w:r>
      <w:r>
        <w:fldChar w:fldCharType="end"/>
      </w:r>
      <w:r>
        <w:t xml:space="preserve">, it was agreed to study methods to assess/monitor inactive models, as shown below.  </w:t>
      </w:r>
    </w:p>
    <w:tbl>
      <w:tblPr>
        <w:tblStyle w:val="TableGrid"/>
        <w:tblW w:w="0" w:type="auto"/>
        <w:tblLook w:val="04A0" w:firstRow="1" w:lastRow="0" w:firstColumn="1" w:lastColumn="0" w:noHBand="0" w:noVBand="1"/>
      </w:tblPr>
      <w:tblGrid>
        <w:gridCol w:w="9350"/>
      </w:tblGrid>
      <w:tr w:rsidR="00F11F0A" w14:paraId="2435C3F3" w14:textId="77777777" w:rsidTr="00665448">
        <w:tc>
          <w:tcPr>
            <w:tcW w:w="9350" w:type="dxa"/>
          </w:tcPr>
          <w:p w14:paraId="3C108EC5" w14:textId="77777777" w:rsidR="00F11F0A" w:rsidRPr="00502E04" w:rsidRDefault="00F11F0A" w:rsidP="00665448">
            <w:pPr>
              <w:pStyle w:val="ListParagraph"/>
              <w:spacing w:line="360" w:lineRule="auto"/>
              <w:ind w:left="0"/>
              <w:rPr>
                <w:highlight w:val="green"/>
              </w:rPr>
            </w:pPr>
            <w:r w:rsidRPr="00502E04">
              <w:rPr>
                <w:highlight w:val="green"/>
              </w:rPr>
              <w:t>Agreement</w:t>
            </w:r>
          </w:p>
          <w:p w14:paraId="6241E631" w14:textId="77777777" w:rsidR="00F11F0A" w:rsidRDefault="00F11F0A" w:rsidP="00665448">
            <w:pPr>
              <w:pStyle w:val="ListParagraph"/>
              <w:spacing w:line="360" w:lineRule="auto"/>
            </w:pPr>
            <w:r>
              <w:t>Conclude that applicable functionalities/models can be reported by UE.</w:t>
            </w:r>
          </w:p>
          <w:p w14:paraId="1528E2B6" w14:textId="77777777" w:rsidR="00F11F0A" w:rsidRDefault="00F11F0A" w:rsidP="00665448">
            <w:pPr>
              <w:rPr>
                <w:bCs/>
                <w:highlight w:val="green"/>
                <w:lang w:eastAsia="zh-CN"/>
              </w:rPr>
            </w:pPr>
          </w:p>
          <w:p w14:paraId="5C8E0BB9" w14:textId="77777777" w:rsidR="00F11F0A" w:rsidRPr="006509E3" w:rsidRDefault="00F11F0A" w:rsidP="00665448">
            <w:pPr>
              <w:rPr>
                <w:bCs/>
                <w:highlight w:val="green"/>
                <w:lang w:eastAsia="zh-CN"/>
              </w:rPr>
            </w:pPr>
            <w:r w:rsidRPr="006509E3">
              <w:rPr>
                <w:rFonts w:hint="eastAsia"/>
                <w:bCs/>
                <w:highlight w:val="green"/>
                <w:lang w:eastAsia="zh-CN"/>
              </w:rPr>
              <w:t>A</w:t>
            </w:r>
            <w:r w:rsidRPr="006509E3">
              <w:rPr>
                <w:bCs/>
                <w:highlight w:val="green"/>
                <w:lang w:eastAsia="zh-CN"/>
              </w:rPr>
              <w:t>greement</w:t>
            </w:r>
          </w:p>
          <w:p w14:paraId="5064AD78" w14:textId="77777777" w:rsidR="00F11F0A" w:rsidRPr="006509E3" w:rsidRDefault="00F11F0A" w:rsidP="00F11F0A">
            <w:pPr>
              <w:pStyle w:val="ListParagraph"/>
              <w:numPr>
                <w:ilvl w:val="0"/>
                <w:numId w:val="49"/>
              </w:numPr>
              <w:spacing w:after="160" w:line="360" w:lineRule="auto"/>
              <w:rPr>
                <w:bCs/>
                <w:lang w:eastAsia="zh-CN"/>
              </w:rPr>
            </w:pPr>
            <w:r w:rsidRPr="006509E3">
              <w:rPr>
                <w:bCs/>
                <w:lang w:eastAsia="zh-CN"/>
              </w:rPr>
              <w:t xml:space="preserve">When a model of a known structure at UE (e.g., Case z4) is transferred from NW, the new model being identified (e.g., via Type B2) has the same structure as </w:t>
            </w:r>
            <w:proofErr w:type="gramStart"/>
            <w:r w:rsidRPr="006509E3">
              <w:rPr>
                <w:bCs/>
                <w:lang w:eastAsia="zh-CN"/>
              </w:rPr>
              <w:t>an</w:t>
            </w:r>
            <w:proofErr w:type="gramEnd"/>
            <w:r w:rsidRPr="006509E3">
              <w:rPr>
                <w:bCs/>
                <w:lang w:eastAsia="zh-CN"/>
              </w:rPr>
              <w:t xml:space="preserve"> previously identified model at the Network and UE</w:t>
            </w:r>
          </w:p>
          <w:p w14:paraId="415FB8B3" w14:textId="77777777" w:rsidR="00F11F0A" w:rsidRPr="006509E3" w:rsidRDefault="00F11F0A" w:rsidP="00F11F0A">
            <w:pPr>
              <w:pStyle w:val="ListParagraph"/>
              <w:numPr>
                <w:ilvl w:val="1"/>
                <w:numId w:val="49"/>
              </w:numPr>
              <w:spacing w:after="160" w:line="360" w:lineRule="auto"/>
              <w:rPr>
                <w:bCs/>
                <w:lang w:eastAsia="zh-CN"/>
              </w:rPr>
            </w:pPr>
            <w:r w:rsidRPr="006509E3">
              <w:rPr>
                <w:rFonts w:eastAsia="DengXian" w:hint="eastAsia"/>
                <w:bCs/>
                <w:lang w:eastAsia="zh-CN"/>
              </w:rPr>
              <w:t>N</w:t>
            </w:r>
            <w:r w:rsidRPr="006509E3">
              <w:rPr>
                <w:rFonts w:eastAsia="DengXian"/>
                <w:bCs/>
                <w:lang w:eastAsia="zh-CN"/>
              </w:rPr>
              <w:t>ote: the need of model transfer will be discussed separately</w:t>
            </w:r>
          </w:p>
          <w:p w14:paraId="103D7848" w14:textId="77777777" w:rsidR="00F11F0A" w:rsidRPr="004D61A1" w:rsidRDefault="00F11F0A" w:rsidP="00665448">
            <w:pPr>
              <w:rPr>
                <w:rFonts w:cs="DengXian"/>
                <w:highlight w:val="green"/>
              </w:rPr>
            </w:pPr>
            <w:r w:rsidRPr="004D61A1">
              <w:rPr>
                <w:rFonts w:cs="DengXian"/>
                <w:highlight w:val="green"/>
              </w:rPr>
              <w:t>Agreement</w:t>
            </w:r>
          </w:p>
          <w:p w14:paraId="213C200D" w14:textId="77777777" w:rsidR="00F11F0A" w:rsidRPr="00BE56D3" w:rsidRDefault="00F11F0A" w:rsidP="00F11F0A">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BE56D3">
              <w:rPr>
                <w:rFonts w:eastAsia="SimSun"/>
                <w:bCs/>
                <w:iCs/>
                <w:szCs w:val="20"/>
                <w:lang w:eastAsia="zh-CN"/>
              </w:rPr>
              <w:t xml:space="preserve">Model ID in RAN1 discussion may or may not be globally unique, and different types of model IDs may be created for a single model for various LCM purposes. </w:t>
            </w:r>
          </w:p>
          <w:p w14:paraId="1AA6478D" w14:textId="77777777" w:rsidR="00F11F0A" w:rsidRPr="00BE56D3" w:rsidRDefault="00F11F0A" w:rsidP="00F11F0A">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BE56D3">
              <w:rPr>
                <w:rFonts w:eastAsia="SimSun"/>
                <w:bCs/>
                <w:iCs/>
                <w:szCs w:val="20"/>
                <w:lang w:eastAsia="zh-CN"/>
              </w:rPr>
              <w:lastRenderedPageBreak/>
              <w:t>Note: Details can be studied in the WI phase.</w:t>
            </w:r>
          </w:p>
          <w:p w14:paraId="7813A1DE" w14:textId="77777777" w:rsidR="00F11F0A" w:rsidRPr="00E42909" w:rsidRDefault="00F11F0A" w:rsidP="00665448">
            <w:pPr>
              <w:tabs>
                <w:tab w:val="left" w:pos="-4820"/>
              </w:tabs>
              <w:autoSpaceDE w:val="0"/>
              <w:autoSpaceDN w:val="0"/>
              <w:adjustRightInd w:val="0"/>
              <w:snapToGrid w:val="0"/>
              <w:spacing w:line="259" w:lineRule="auto"/>
              <w:ind w:left="360"/>
              <w:contextualSpacing/>
              <w:rPr>
                <w:rFonts w:eastAsia="SimSun"/>
                <w:bCs/>
                <w:iCs/>
                <w:szCs w:val="20"/>
                <w:lang w:eastAsia="zh-CN"/>
              </w:rPr>
            </w:pPr>
          </w:p>
        </w:tc>
      </w:tr>
    </w:tbl>
    <w:p w14:paraId="5643ED36" w14:textId="17068AC2" w:rsidR="00393013" w:rsidRDefault="002103F3" w:rsidP="0093078A">
      <w:pPr>
        <w:spacing w:before="240"/>
      </w:pPr>
      <w:r>
        <w:lastRenderedPageBreak/>
        <w:t>In this contribution</w:t>
      </w:r>
      <w:r w:rsidR="00071459">
        <w:t xml:space="preserve"> we provide our views on</w:t>
      </w:r>
      <w:r w:rsidR="00676862">
        <w:t xml:space="preserve"> </w:t>
      </w:r>
      <w:r w:rsidR="00F11F0A">
        <w:t>functionality-based vs model-ID based LCM and model transfer</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proofErr w:type="gramStart"/>
      <w:r>
        <w:t>In order to</w:t>
      </w:r>
      <w:proofErr w:type="gramEnd"/>
      <w:r>
        <w:t xml:space="preserve">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4D4FBB79" w14:textId="1C32DA73" w:rsidR="0042391B" w:rsidRDefault="00BA1885" w:rsidP="00BD3158">
      <w:pPr>
        <w:spacing w:before="240"/>
      </w:pPr>
      <w:r>
        <w:t xml:space="preserve">In RAN1#111, </w:t>
      </w:r>
      <w:r w:rsidR="003917E6" w:rsidRPr="003917E6">
        <w:t xml:space="preserve">two </w:t>
      </w:r>
      <w:r>
        <w:t>mechanism</w:t>
      </w:r>
      <w:r w:rsidR="0020052F">
        <w:t>s</w:t>
      </w:r>
      <w:r>
        <w:t xml:space="preserve"> for </w:t>
      </w:r>
      <w:r w:rsidR="003917E6" w:rsidRPr="003917E6">
        <w:t>LCM procedure involving UE-part/UE-side models</w:t>
      </w:r>
      <w:r w:rsidR="003917E6">
        <w:t xml:space="preserve"> were agreed to be studied</w:t>
      </w:r>
      <w:r>
        <w:t>,</w:t>
      </w:r>
      <w:r w:rsidR="003917E6">
        <w:t xml:space="preserve"> namely </w:t>
      </w:r>
      <w:r w:rsidR="0042391B" w:rsidRPr="0042391B">
        <w:t>functionality-based procedure and model-ID-based procedure.</w:t>
      </w:r>
    </w:p>
    <w:p w14:paraId="32952FE7" w14:textId="39921771" w:rsidR="00C735A9" w:rsidRPr="00AB1F40" w:rsidRDefault="0042391B" w:rsidP="0042391B">
      <w:pPr>
        <w:spacing w:before="240"/>
      </w:pPr>
      <w:r w:rsidRPr="00AB1F40">
        <w:t>In case of functionality-based procedure, an identity associated with AI/ML function (</w:t>
      </w:r>
      <w:r w:rsidR="00B1268B" w:rsidRPr="00AB1F40">
        <w:t>i.e.,</w:t>
      </w:r>
      <w:r w:rsidRPr="00AB1F40">
        <w:t xml:space="preserve"> functionality identification) is used as a means for common understanding between the UE and the </w:t>
      </w:r>
      <w:r w:rsidR="00EA0830" w:rsidRPr="00AB1F40">
        <w:t>NW for</w:t>
      </w:r>
      <w:r w:rsidRPr="00AB1F40">
        <w:t xml:space="preserve"> LCM.</w:t>
      </w:r>
      <w:r w:rsidR="00EC7740" w:rsidRPr="00AB1F40">
        <w:t xml:space="preserve"> </w:t>
      </w:r>
      <w:r w:rsidR="00DE2950" w:rsidRPr="003B6E93">
        <w:t>For this</w:t>
      </w:r>
      <w:r w:rsidRPr="00AB1F40">
        <w:t xml:space="preserve"> approach </w:t>
      </w:r>
      <w:r w:rsidR="00DE2950" w:rsidRPr="003B6E93">
        <w:t xml:space="preserve">the </w:t>
      </w:r>
      <w:r w:rsidRPr="00AB1F40">
        <w:t>UE capability framework</w:t>
      </w:r>
      <w:r w:rsidR="00DE2950" w:rsidRPr="003B6E93">
        <w:t xml:space="preserve"> can be a starting point for discussion</w:t>
      </w:r>
      <w:r w:rsidRPr="00AB1F40">
        <w:t xml:space="preserve">. </w:t>
      </w:r>
      <w:r w:rsidR="00B807DC" w:rsidRPr="003B6E93">
        <w:t>W</w:t>
      </w:r>
      <w:r w:rsidR="00C96921" w:rsidRPr="003B6E93">
        <w:t>ithi</w:t>
      </w:r>
      <w:r w:rsidR="00DE2950" w:rsidRPr="003B6E93">
        <w:t>n a</w:t>
      </w:r>
      <w:r w:rsidR="00413E45">
        <w:t>n</w:t>
      </w:r>
      <w:r w:rsidR="00DE2950" w:rsidRPr="003B6E93">
        <w:t xml:space="preserve"> AI/ML-enabled feature, </w:t>
      </w:r>
      <w:r w:rsidR="00B807DC" w:rsidRPr="003B6E93">
        <w:t xml:space="preserve">it is possible that </w:t>
      </w:r>
      <w:r w:rsidR="00DE2950" w:rsidRPr="003B6E93">
        <w:t>one or more functionalit</w:t>
      </w:r>
      <w:r w:rsidR="00C96921" w:rsidRPr="003B6E93">
        <w:t>ies</w:t>
      </w:r>
      <w:r w:rsidR="00DE2950" w:rsidRPr="003B6E93">
        <w:t xml:space="preserve"> may be defined. </w:t>
      </w:r>
      <w:r w:rsidR="00B807DC" w:rsidRPr="003B6E93">
        <w:t>In</w:t>
      </w:r>
      <w:r w:rsidR="0005604A" w:rsidRPr="003B6E93">
        <w:t xml:space="preserve"> functionality-based </w:t>
      </w:r>
      <w:r w:rsidR="00B807DC" w:rsidRPr="003B6E93">
        <w:t>LCM</w:t>
      </w:r>
      <w:r w:rsidR="0005604A" w:rsidRPr="003B6E93">
        <w:t xml:space="preserve">, further distinctions can be made based on </w:t>
      </w:r>
      <w:r w:rsidR="00AD1558" w:rsidRPr="003B6E93">
        <w:t>the</w:t>
      </w:r>
      <w:r w:rsidR="0005604A" w:rsidRPr="003B6E93">
        <w:t xml:space="preserve"> granularity of the functionality. </w:t>
      </w:r>
      <w:r w:rsidR="008011B6" w:rsidRPr="00AB1F40">
        <w:t xml:space="preserve"> In option:1 The AIML functionality corresponds to a AIML enabled UE feature. For example, the UE may indicate in the capability report the support for CSI compression as AIML enabled feature</w:t>
      </w:r>
      <w:r w:rsidR="00D22CAA" w:rsidRPr="003B6E93">
        <w:t xml:space="preserve"> or feature group</w:t>
      </w:r>
      <w:r w:rsidR="008011B6" w:rsidRPr="00AB1F40">
        <w:t xml:space="preserve">. </w:t>
      </w:r>
      <w:r w:rsidR="00301FE3" w:rsidRPr="00AB1F40">
        <w:t>The UE</w:t>
      </w:r>
      <w:r w:rsidR="008011B6" w:rsidRPr="00AB1F40">
        <w:t xml:space="preserve"> may have one or more models to support this feature and the NW is essentially transparent to the number of UE models or any other granularity related to the AIML functionality.</w:t>
      </w:r>
      <w:r w:rsidR="00B82B1E" w:rsidRPr="00AB1F40">
        <w:t xml:space="preserve"> In this case, the activation/deactivation is done at the feature level. </w:t>
      </w:r>
      <w:r w:rsidR="008011B6" w:rsidRPr="00AB1F40">
        <w:t xml:space="preserve">In option:2 the UE may report </w:t>
      </w:r>
      <w:r w:rsidR="00C60042" w:rsidRPr="00AB1F40">
        <w:t xml:space="preserve">a </w:t>
      </w:r>
      <w:r w:rsidR="008011B6" w:rsidRPr="00AB1F40">
        <w:t>multiple AIML functionality per UE feature.</w:t>
      </w:r>
      <w:r w:rsidR="00B82B1E" w:rsidRPr="00AB1F40">
        <w:t xml:space="preserve"> Here </w:t>
      </w:r>
      <w:r w:rsidR="008011B6" w:rsidRPr="00AB1F40">
        <w:t xml:space="preserve">different functionality </w:t>
      </w:r>
      <w:r w:rsidR="00B82B1E" w:rsidRPr="00AB1F40">
        <w:t xml:space="preserve">within a feature </w:t>
      </w:r>
      <w:r w:rsidR="008011B6" w:rsidRPr="00AB1F40">
        <w:t xml:space="preserve">may have different applicable conditions. </w:t>
      </w:r>
      <w:r w:rsidR="000E6AE0" w:rsidRPr="00AB1F40">
        <w:t xml:space="preserve">In this option, the applicable conditions are assumed to be static and doesn’t change over time. </w:t>
      </w:r>
      <w:r w:rsidR="008011B6" w:rsidRPr="00AB1F40">
        <w:t xml:space="preserve">For example, the </w:t>
      </w:r>
      <w:r w:rsidR="00C60042" w:rsidRPr="00AB1F40">
        <w:t xml:space="preserve">applicable conditions may enable the </w:t>
      </w:r>
      <w:r w:rsidR="008011B6" w:rsidRPr="00AB1F40">
        <w:t xml:space="preserve">UE </w:t>
      </w:r>
      <w:r w:rsidR="00B1268B" w:rsidRPr="00AB1F40">
        <w:t>to</w:t>
      </w:r>
      <w:r w:rsidR="008011B6" w:rsidRPr="00AB1F40">
        <w:t xml:space="preserve"> use different models </w:t>
      </w:r>
      <w:r w:rsidR="003832AA" w:rsidRPr="00AB1F40">
        <w:t>each</w:t>
      </w:r>
      <w:r w:rsidR="008011B6" w:rsidRPr="00AB1F40">
        <w:t xml:space="preserve"> optimized for specific scenario</w:t>
      </w:r>
      <w:r w:rsidR="003832AA" w:rsidRPr="00AB1F40">
        <w:t xml:space="preserve"> (e.g., CSI payload size, </w:t>
      </w:r>
      <w:r w:rsidR="003832AA" w:rsidRPr="00AB1F40">
        <w:lastRenderedPageBreak/>
        <w:t xml:space="preserve">number of antenna ports </w:t>
      </w:r>
      <w:r w:rsidR="00301FE3" w:rsidRPr="00AB1F40">
        <w:t>etc.</w:t>
      </w:r>
      <w:r w:rsidR="003832AA" w:rsidRPr="00AB1F40">
        <w:t xml:space="preserve"> for CSI compression, Set A and Set B configurations in case of beam management </w:t>
      </w:r>
      <w:r w:rsidR="00301FE3" w:rsidRPr="00AB1F40">
        <w:t>etc.</w:t>
      </w:r>
      <w:r w:rsidR="003832AA" w:rsidRPr="00AB1F40">
        <w:t>)</w:t>
      </w:r>
      <w:r w:rsidR="008011B6" w:rsidRPr="00AB1F40">
        <w:t>.</w:t>
      </w:r>
      <w:r w:rsidR="00B82B1E" w:rsidRPr="00AB1F40">
        <w:t xml:space="preserve"> Each functionality </w:t>
      </w:r>
      <w:r w:rsidR="00A12388" w:rsidRPr="003B6E93">
        <w:t xml:space="preserve">may correspond to static RRC configuration. </w:t>
      </w:r>
      <w:r w:rsidR="008011B6" w:rsidRPr="00AB1F40">
        <w:t xml:space="preserve"> </w:t>
      </w:r>
      <w:r w:rsidR="003832AA" w:rsidRPr="00AB1F40">
        <w:t xml:space="preserve">In option:3 </w:t>
      </w:r>
      <w:r w:rsidR="00C60042" w:rsidRPr="00AB1F40">
        <w:t xml:space="preserve">multiple AIML functionalities may be associated with a AIML enabled feature </w:t>
      </w:r>
      <w:r w:rsidR="000E6AE0" w:rsidRPr="00AB1F40">
        <w:t>with dynamic applicable conditions</w:t>
      </w:r>
      <w:r w:rsidR="00C60042" w:rsidRPr="00AB1F40">
        <w:t xml:space="preserve">.  </w:t>
      </w:r>
      <w:r w:rsidR="000E6AE0" w:rsidRPr="00AB1F40">
        <w:t xml:space="preserve">For example, these applicable conditions may be in addition to the static applicable conditions in option:2. </w:t>
      </w:r>
      <w:r w:rsidR="00C60042" w:rsidRPr="00AB1F40">
        <w:t>This option may enable the UE to use AIML models that are</w:t>
      </w:r>
      <w:r w:rsidR="000E6AE0" w:rsidRPr="00AB1F40">
        <w:t xml:space="preserve"> trained/</w:t>
      </w:r>
      <w:r w:rsidR="00C60042" w:rsidRPr="00AB1F40">
        <w:t>optimized for different deployments (e.g., site/cell specific, Uma vs Umi, indoor vs outdoor</w:t>
      </w:r>
      <w:r w:rsidR="00B1268B" w:rsidRPr="00AB1F40">
        <w:t xml:space="preserve"> etc.,</w:t>
      </w:r>
      <w:r w:rsidR="00C60042" w:rsidRPr="00AB1F40">
        <w:t xml:space="preserve">). </w:t>
      </w:r>
    </w:p>
    <w:p w14:paraId="5DADC769" w14:textId="3DCBED34" w:rsidR="00C60042" w:rsidRPr="003B6E93" w:rsidRDefault="00C60042" w:rsidP="00C60042">
      <w:pPr>
        <w:spacing w:before="240"/>
        <w:rPr>
          <w:b/>
          <w:bCs/>
        </w:rPr>
      </w:pPr>
      <w:r w:rsidRPr="00AB1F40">
        <w:rPr>
          <w:b/>
          <w:bCs/>
        </w:rPr>
        <w:t xml:space="preserve">Observation 3: Different options for </w:t>
      </w:r>
      <w:r w:rsidR="00301FE3" w:rsidRPr="00AB1F40">
        <w:rPr>
          <w:b/>
          <w:bCs/>
        </w:rPr>
        <w:t>functionality-based</w:t>
      </w:r>
      <w:r w:rsidRPr="00AB1F40">
        <w:rPr>
          <w:b/>
          <w:bCs/>
        </w:rPr>
        <w:t xml:space="preserve"> LCM are possible based on the granularity of functionality. </w:t>
      </w:r>
    </w:p>
    <w:p w14:paraId="03A15636" w14:textId="180E0739" w:rsidR="00C60042" w:rsidRDefault="005A0907" w:rsidP="00C60042">
      <w:pPr>
        <w:spacing w:before="240"/>
        <w:rPr>
          <w:b/>
          <w:bCs/>
        </w:rPr>
      </w:pPr>
      <w:r>
        <w:rPr>
          <w:b/>
          <w:bCs/>
        </w:rPr>
        <w:t>.</w:t>
      </w:r>
    </w:p>
    <w:p w14:paraId="4C08199B" w14:textId="75CDC117" w:rsidR="002C2C52" w:rsidRPr="00C41D66" w:rsidRDefault="003917E6" w:rsidP="003917E6">
      <w:r w:rsidRPr="00C41D66">
        <w:t>In case of model-ID based procedure, a</w:t>
      </w:r>
      <w:r w:rsidR="00B1268B" w:rsidRPr="00C41D66">
        <w:t>n</w:t>
      </w:r>
      <w:r w:rsidRPr="00C41D66">
        <w:t xml:space="preserve"> identity associated with AI/ML model (</w:t>
      </w:r>
      <w:r w:rsidR="00B1268B" w:rsidRPr="00C41D66">
        <w:t>i.e.,</w:t>
      </w:r>
      <w:r w:rsidRPr="00C41D66">
        <w:t xml:space="preserve"> model identification) is used as a means for common understanding between the UE and the</w:t>
      </w:r>
      <w:r w:rsidR="00F21225" w:rsidRPr="00C41D66">
        <w:t xml:space="preserve"> NW</w:t>
      </w:r>
      <w:r w:rsidRPr="00C41D66">
        <w:t xml:space="preserve"> for LCM. </w:t>
      </w:r>
      <w:r w:rsidR="00AC0694" w:rsidRPr="00C41D66">
        <w:t xml:space="preserve"> </w:t>
      </w:r>
      <w:r w:rsidR="00A70B5B" w:rsidRPr="00C41D66">
        <w:t>This option seems to be aligned with the assumptions made in RAN2</w:t>
      </w:r>
      <w:r w:rsidR="00023298" w:rsidRPr="003B6E93">
        <w:t>#12</w:t>
      </w:r>
      <w:r w:rsidR="00703DF0" w:rsidRPr="003B6E93">
        <w:t>1bis</w:t>
      </w:r>
      <w:r w:rsidR="00E774D8" w:rsidRPr="00C41D66">
        <w:t xml:space="preserve"> </w:t>
      </w:r>
      <w:r w:rsidR="00275D77" w:rsidRPr="00C41D66">
        <w:t>meeting</w:t>
      </w:r>
      <w:r w:rsidR="00A70B5B" w:rsidRPr="00C41D66">
        <w:t>:</w:t>
      </w:r>
    </w:p>
    <w:tbl>
      <w:tblPr>
        <w:tblStyle w:val="TableGrid"/>
        <w:tblW w:w="0" w:type="auto"/>
        <w:tblLook w:val="04A0" w:firstRow="1" w:lastRow="0" w:firstColumn="1" w:lastColumn="0" w:noHBand="0" w:noVBand="1"/>
      </w:tblPr>
      <w:tblGrid>
        <w:gridCol w:w="9350"/>
      </w:tblGrid>
      <w:tr w:rsidR="00AC0694" w:rsidRPr="00C41D66" w14:paraId="7A767FB2" w14:textId="77777777" w:rsidTr="005D6A2D">
        <w:tc>
          <w:tcPr>
            <w:tcW w:w="9350" w:type="dxa"/>
          </w:tcPr>
          <w:p w14:paraId="34140018" w14:textId="77777777" w:rsidR="00703DF0" w:rsidRPr="00C41D66" w:rsidRDefault="00703DF0" w:rsidP="003B6E93">
            <w:pPr>
              <w:pStyle w:val="Agreement"/>
              <w:tabs>
                <w:tab w:val="clear" w:pos="360"/>
                <w:tab w:val="num" w:pos="1619"/>
              </w:tabs>
              <w:rPr>
                <w:lang w:eastAsia="zh-CN"/>
              </w:rPr>
            </w:pPr>
            <w:r w:rsidRPr="00C41D66">
              <w:rPr>
                <w:lang w:eastAsia="zh-CN"/>
              </w:rPr>
              <w:t>Model ID can be used to identify model or models for the following LCM purposes:</w:t>
            </w:r>
          </w:p>
          <w:p w14:paraId="7E547780" w14:textId="77777777" w:rsidR="00703DF0" w:rsidRPr="00C41D66" w:rsidRDefault="00703DF0" w:rsidP="003B6E93">
            <w:pPr>
              <w:pStyle w:val="Agreement"/>
              <w:numPr>
                <w:ilvl w:val="0"/>
                <w:numId w:val="0"/>
              </w:numPr>
              <w:ind w:left="360"/>
              <w:rPr>
                <w:lang w:eastAsia="zh-CN"/>
              </w:rPr>
            </w:pPr>
            <w:r w:rsidRPr="00C41D66">
              <w:rPr>
                <w:lang w:eastAsia="zh-CN"/>
              </w:rPr>
              <w:t xml:space="preserve">model selection/activation/deactivation/switching (or </w:t>
            </w:r>
            <w:proofErr w:type="gramStart"/>
            <w:r w:rsidRPr="00C41D66">
              <w:rPr>
                <w:lang w:eastAsia="zh-CN"/>
              </w:rPr>
              <w:t>identification, if</w:t>
            </w:r>
            <w:proofErr w:type="gramEnd"/>
            <w:r w:rsidRPr="00C41D66">
              <w:rPr>
                <w:lang w:eastAsia="zh-CN"/>
              </w:rPr>
              <w:t xml:space="preserve"> that will be supported as a separate step).</w:t>
            </w:r>
          </w:p>
          <w:p w14:paraId="09796117" w14:textId="77777777" w:rsidR="00703DF0" w:rsidRPr="00C41D66" w:rsidRDefault="00703DF0" w:rsidP="003B6E93">
            <w:pPr>
              <w:pStyle w:val="Agreement"/>
              <w:numPr>
                <w:ilvl w:val="0"/>
                <w:numId w:val="0"/>
              </w:numPr>
              <w:ind w:left="360"/>
              <w:rPr>
                <w:lang w:eastAsia="zh-CN"/>
              </w:rPr>
            </w:pPr>
            <w:bookmarkStart w:id="2" w:name="OLE_LINK183"/>
            <w:bookmarkStart w:id="3" w:name="OLE_LINK184"/>
            <w:r w:rsidRPr="00C41D66">
              <w:rPr>
                <w:lang w:eastAsia="zh-CN"/>
              </w:rPr>
              <w:t>(</w:t>
            </w:r>
            <w:proofErr w:type="gramStart"/>
            <w:r w:rsidRPr="00C41D66">
              <w:rPr>
                <w:lang w:eastAsia="zh-CN"/>
              </w:rPr>
              <w:t>e.g.</w:t>
            </w:r>
            <w:proofErr w:type="gramEnd"/>
            <w:r w:rsidRPr="00C41D66">
              <w:rPr>
                <w:lang w:eastAsia="zh-CN"/>
              </w:rPr>
              <w:t xml:space="preserve"> for so called “model ID based LCM”</w:t>
            </w:r>
            <w:bookmarkEnd w:id="2"/>
            <w:bookmarkEnd w:id="3"/>
            <w:r w:rsidRPr="00C41D66">
              <w:rPr>
                <w:lang w:eastAsia="zh-CN"/>
              </w:rPr>
              <w:t>)</w:t>
            </w:r>
          </w:p>
          <w:p w14:paraId="108E5EF0" w14:textId="77777777" w:rsidR="00703DF0" w:rsidRPr="00C41D66" w:rsidRDefault="00703DF0" w:rsidP="003B6E93">
            <w:pPr>
              <w:pStyle w:val="Agreement"/>
              <w:tabs>
                <w:tab w:val="clear" w:pos="360"/>
                <w:tab w:val="num" w:pos="1619"/>
              </w:tabs>
              <w:rPr>
                <w:lang w:eastAsia="zh-CN"/>
              </w:rPr>
            </w:pPr>
            <w:r w:rsidRPr="00C41D66">
              <w:rPr>
                <w:lang w:eastAsia="zh-CN"/>
              </w:rPr>
              <w:t xml:space="preserve">If model transfer/delivery is supported, model ID can be used for model transfer/delivery LCM purpose. </w:t>
            </w:r>
          </w:p>
          <w:p w14:paraId="09AE3010" w14:textId="6D5CCB00" w:rsidR="00AC0694" w:rsidRPr="00C41D66" w:rsidRDefault="00AC0694" w:rsidP="003B6E93">
            <w:pPr>
              <w:pStyle w:val="Agreement"/>
              <w:numPr>
                <w:ilvl w:val="0"/>
                <w:numId w:val="0"/>
              </w:numPr>
            </w:pPr>
          </w:p>
        </w:tc>
      </w:tr>
    </w:tbl>
    <w:p w14:paraId="6D9B42E7" w14:textId="77777777" w:rsidR="00703DF0" w:rsidRPr="003B6E93" w:rsidRDefault="00703DF0" w:rsidP="00AC0694"/>
    <w:p w14:paraId="4ED197D1" w14:textId="371365BA" w:rsidR="00703DF0" w:rsidRPr="00C41D66" w:rsidRDefault="00703DF0" w:rsidP="00AC0694">
      <w:r w:rsidRPr="003B6E93">
        <w:t>According to RAN1#112bis</w:t>
      </w:r>
      <w:r w:rsidR="009F1FA3">
        <w:t>-e</w:t>
      </w:r>
      <w:r w:rsidRPr="003B6E93">
        <w:t xml:space="preserve"> agreement, the model-ID-based LCM operates based on identified models, where a model may be associated with specific configurations/conditions associated with UE capability of AI/ML-enabled feature/FG and additional conditions (e.g., scenarios, </w:t>
      </w:r>
      <w:proofErr w:type="gramStart"/>
      <w:r w:rsidRPr="003B6E93">
        <w:t>sites</w:t>
      </w:r>
      <w:proofErr w:type="gramEnd"/>
      <w:r w:rsidRPr="003B6E93">
        <w:t xml:space="preserve"> and datasets) as determined/identified between UE-side and NW-side. </w:t>
      </w:r>
      <w:r w:rsidR="00F7617A" w:rsidRPr="003B6E93">
        <w:t xml:space="preserve">Model-ID-based LCM </w:t>
      </w:r>
      <w:proofErr w:type="gramStart"/>
      <w:r w:rsidR="00F7617A" w:rsidRPr="003B6E93">
        <w:t>by definition supports</w:t>
      </w:r>
      <w:proofErr w:type="gramEnd"/>
      <w:r w:rsidR="00F7617A" w:rsidRPr="003B6E93">
        <w:t xml:space="preserve"> the more granular LCM than </w:t>
      </w:r>
      <w:r w:rsidR="00413E45" w:rsidRPr="003B6E93">
        <w:t>functionality-based</w:t>
      </w:r>
      <w:r w:rsidR="00F7617A" w:rsidRPr="003B6E93">
        <w:t xml:space="preserve"> LCM. </w:t>
      </w:r>
    </w:p>
    <w:p w14:paraId="27524BCC" w14:textId="46127035" w:rsidR="00881547" w:rsidRPr="00C41D66" w:rsidRDefault="00881547" w:rsidP="00AC0694">
      <w:r w:rsidRPr="00C41D66">
        <w:t xml:space="preserve">The exact AIML model represented by the model ID is related to the level of visibility/awareness of UE AIML model at the NW. </w:t>
      </w:r>
      <w:r w:rsidR="00501F17" w:rsidRPr="00C41D66">
        <w:t xml:space="preserve">A first interpretation </w:t>
      </w:r>
      <w:r w:rsidR="00084ABC" w:rsidRPr="00C41D66">
        <w:t>is</w:t>
      </w:r>
      <w:r w:rsidR="00501F17" w:rsidRPr="00C41D66">
        <w:t xml:space="preserve"> that the </w:t>
      </w:r>
      <w:r w:rsidR="00084ABC" w:rsidRPr="00C41D66">
        <w:t xml:space="preserve">model ID represents a </w:t>
      </w:r>
      <w:r w:rsidR="00501F17" w:rsidRPr="00C41D66">
        <w:t xml:space="preserve">physical </w:t>
      </w:r>
      <w:r w:rsidR="00084ABC" w:rsidRPr="00C41D66">
        <w:t xml:space="preserve">AIML </w:t>
      </w:r>
      <w:r w:rsidR="00501F17" w:rsidRPr="00C41D66">
        <w:t xml:space="preserve">model – </w:t>
      </w:r>
      <w:r w:rsidR="00301FE3" w:rsidRPr="00C41D66">
        <w:t>e.g.</w:t>
      </w:r>
      <w:r w:rsidR="00501F17" w:rsidRPr="00C41D66">
        <w:t xml:space="preserve">, a binary model file which is optimized/compiled targeting a specific UE hardware/implementation.  A </w:t>
      </w:r>
      <w:r w:rsidR="00871AD2" w:rsidRPr="003B6E93">
        <w:t>second</w:t>
      </w:r>
      <w:r w:rsidR="00871AD2" w:rsidRPr="00C41D66">
        <w:t xml:space="preserve"> </w:t>
      </w:r>
      <w:r w:rsidR="00501F17" w:rsidRPr="00C41D66">
        <w:t xml:space="preserve">interpretation </w:t>
      </w:r>
      <w:r w:rsidR="00084ABC" w:rsidRPr="00C41D66">
        <w:t>is</w:t>
      </w:r>
      <w:r w:rsidR="00501F17" w:rsidRPr="00C41D66">
        <w:t xml:space="preserve"> that the </w:t>
      </w:r>
      <w:r w:rsidR="00084ABC" w:rsidRPr="00C41D66">
        <w:t>model ID represents a</w:t>
      </w:r>
      <w:r w:rsidR="00501F17" w:rsidRPr="00C41D66">
        <w:t xml:space="preserve"> logical model – </w:t>
      </w:r>
      <w:r w:rsidR="00301FE3" w:rsidRPr="00C41D66">
        <w:t>i.e.,</w:t>
      </w:r>
      <w:r w:rsidR="00501F17" w:rsidRPr="00C41D66">
        <w:t xml:space="preserve"> an abstract notion of model defined for the purpose of model identification in LCM signaling. The logical model may be implemented by one or more physical models. The logical model may simply correspond to the input/output relationship, training data/training outcome, any model that meets the performance requirements w.r.t a test suite</w:t>
      </w:r>
      <w:r w:rsidR="00464548" w:rsidRPr="00C41D66">
        <w:t xml:space="preserve">, pairing relationship between encoder and decoder in case of </w:t>
      </w:r>
      <w:r w:rsidR="00301FE3" w:rsidRPr="00C41D66">
        <w:t>two-sided</w:t>
      </w:r>
      <w:r w:rsidR="00464548" w:rsidRPr="00C41D66">
        <w:t xml:space="preserve"> model</w:t>
      </w:r>
      <w:r w:rsidR="00501F17" w:rsidRPr="00C41D66">
        <w:t xml:space="preserve"> etc. </w:t>
      </w:r>
    </w:p>
    <w:p w14:paraId="43654940" w14:textId="5A1CBC62" w:rsidR="00464548" w:rsidRPr="003B6E93" w:rsidRDefault="00CC62AF" w:rsidP="00AC0694">
      <w:r w:rsidRPr="00C41D66">
        <w:t xml:space="preserve">It may be too restrictive to associate model ID to physical model, since it will result in a new model ID even </w:t>
      </w:r>
      <w:r w:rsidR="004F0CF1" w:rsidRPr="00C41D66">
        <w:t>for</w:t>
      </w:r>
      <w:r w:rsidRPr="00C41D66">
        <w:t xml:space="preserve"> a small change in AIML model parameter, </w:t>
      </w:r>
      <w:r w:rsidR="00301FE3" w:rsidRPr="00C41D66">
        <w:t>even though</w:t>
      </w:r>
      <w:r w:rsidRPr="00C41D66">
        <w:t xml:space="preserve"> this change may not result in meaningful change in the model </w:t>
      </w:r>
      <w:r w:rsidR="00E0762C" w:rsidRPr="00C41D66">
        <w:t>behavior</w:t>
      </w:r>
      <w:r w:rsidRPr="00C41D66">
        <w:t xml:space="preserve">. This will result in model ID </w:t>
      </w:r>
      <w:r w:rsidR="00301FE3" w:rsidRPr="00C41D66">
        <w:t>explosion</w:t>
      </w:r>
      <w:r w:rsidRPr="00C41D66">
        <w:t xml:space="preserve"> and could become unmanageable over the </w:t>
      </w:r>
      <w:r w:rsidR="00301FE3" w:rsidRPr="00C41D66">
        <w:t>lifetime</w:t>
      </w:r>
      <w:r w:rsidRPr="00C41D66">
        <w:t xml:space="preserve"> of the model. </w:t>
      </w:r>
    </w:p>
    <w:p w14:paraId="1B73D512" w14:textId="122AAADC" w:rsidR="00FC007D" w:rsidRPr="00C41D66" w:rsidRDefault="00314409" w:rsidP="00AC0694">
      <w:r>
        <w:t>F</w:t>
      </w:r>
      <w:r w:rsidR="00FC007D" w:rsidRPr="003B6E93">
        <w:t xml:space="preserve">rom RAN1 perspective, the AI/ML model identified by model ID may be logical and how it maps to physical AI/ML model(s) may be up to implementation. For the cases when distinction is necessary, it was clarified that logical model refers to a model that is identified and assigned a model ID and physical AI/ML model to refer to an </w:t>
      </w:r>
      <w:r w:rsidR="0040065C">
        <w:t>actual</w:t>
      </w:r>
      <w:r w:rsidR="0040065C" w:rsidRPr="003B6E93">
        <w:t xml:space="preserve"> </w:t>
      </w:r>
      <w:r w:rsidR="00FC007D" w:rsidRPr="003B6E93">
        <w:t>implementation of such model.</w:t>
      </w:r>
    </w:p>
    <w:p w14:paraId="0DFE0F64" w14:textId="09E96C81" w:rsidR="00871AD2" w:rsidRDefault="00F84BF0" w:rsidP="00871AD2">
      <w:r w:rsidRPr="00C41D66">
        <w:lastRenderedPageBreak/>
        <w:t xml:space="preserve">Eventually it makes sense to have a </w:t>
      </w:r>
      <w:proofErr w:type="gramStart"/>
      <w:r w:rsidRPr="00C41D66">
        <w:t>different</w:t>
      </w:r>
      <w:r w:rsidR="00104B10">
        <w:t>iate</w:t>
      </w:r>
      <w:r w:rsidRPr="00C41D66">
        <w:t xml:space="preserve">  two</w:t>
      </w:r>
      <w:proofErr w:type="gramEnd"/>
      <w:r w:rsidRPr="00C41D66">
        <w:t xml:space="preserve"> AIML models,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the decoder is different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a logical model. For these reasons, it seems useful to associate the model ID to the logical model 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than the physical model. </w:t>
      </w:r>
    </w:p>
    <w:p w14:paraId="09D7D855" w14:textId="7DE773A3" w:rsidR="0074454E" w:rsidRDefault="00EE123C" w:rsidP="00871AD2">
      <w:r>
        <w:t xml:space="preserve">Pros and Cons of </w:t>
      </w:r>
      <w:r w:rsidR="009D659E">
        <w:t>F</w:t>
      </w:r>
      <w:r w:rsidR="0074454E">
        <w:t xml:space="preserve">unctionality-based LCM and model ID based LCM was discussed for multiple meetings now. </w:t>
      </w:r>
      <w:r w:rsidR="00482FD6">
        <w:t>Functionality-based LCM may be applicable at least for UE side models without model transfer. Model-ID based LCM may be applicable at least for UE-side models with model transfer, two-sided models, use cases requiring scenario/configuration/site/dataset-specific models. Another difference between the two types of LCM is the granularity, i.e., functionality level</w:t>
      </w:r>
      <w:r w:rsidR="009D659E">
        <w:t xml:space="preserve"> management</w:t>
      </w:r>
      <w:r w:rsidR="00482FD6">
        <w:t xml:space="preserve"> and model level</w:t>
      </w:r>
      <w:r w:rsidR="009D659E">
        <w:t xml:space="preserve"> management</w:t>
      </w:r>
      <w:r w:rsidR="00482FD6">
        <w:t xml:space="preserve">. </w:t>
      </w:r>
      <w:r w:rsidR="00F87901">
        <w:t xml:space="preserve">One view is that the functionality-based LCM can be a common baseline that relies on legacy feature mechanism and model ID based LCM, if needed, could be additional mechanism on top of functionality-based LCM. Another view is that the model-ID based LCM can be a unified superset of two LCMs where the functionality-based LCM </w:t>
      </w:r>
      <w:r w:rsidR="00AA5CDF">
        <w:t>can be considered as</w:t>
      </w:r>
      <w:r w:rsidR="00F87901">
        <w:t xml:space="preserve"> a special case of model-ID based LCM with a fixed/predefined model ID. </w:t>
      </w:r>
      <w:r w:rsidR="00F87901" w:rsidRPr="00F87901">
        <w:t xml:space="preserve">From the study item perspective, it may be sufficient to capture the applicable scenarios for both types of LCM. </w:t>
      </w:r>
      <w:r w:rsidR="00D406A6">
        <w:t>Specific d</w:t>
      </w:r>
      <w:r w:rsidR="00F87901">
        <w:t>etails of the type of LCM</w:t>
      </w:r>
      <w:r w:rsidR="00F87901" w:rsidRPr="00F87901">
        <w:t xml:space="preserve"> can be decided during the work item when </w:t>
      </w:r>
      <w:r w:rsidR="00D406A6">
        <w:t>the</w:t>
      </w:r>
      <w:r w:rsidR="00F87901">
        <w:t xml:space="preserve"> </w:t>
      </w:r>
      <w:r w:rsidR="00D406A6">
        <w:t>discussions on</w:t>
      </w:r>
      <w:r w:rsidR="00F87901">
        <w:t xml:space="preserve"> </w:t>
      </w:r>
      <w:r w:rsidR="00F87901" w:rsidRPr="00F87901">
        <w:t xml:space="preserve">identification methods and applicable conditions </w:t>
      </w:r>
      <w:r w:rsidR="00D406A6">
        <w:t>have progressed further</w:t>
      </w:r>
      <w:r w:rsidR="00F87901" w:rsidRPr="00F87901">
        <w:t xml:space="preserve">.  </w:t>
      </w:r>
    </w:p>
    <w:p w14:paraId="3ABBEE8B" w14:textId="73439D01" w:rsidR="00482FD6" w:rsidRPr="00E760CC" w:rsidRDefault="00482FD6" w:rsidP="00482FD6">
      <w:pPr>
        <w:rPr>
          <w:b/>
          <w:bCs/>
        </w:rPr>
      </w:pPr>
      <w:r w:rsidRPr="00B62FDD">
        <w:rPr>
          <w:b/>
          <w:bCs/>
        </w:rPr>
        <w:t xml:space="preserve">Observation </w:t>
      </w:r>
      <w:r w:rsidR="00B62FDD">
        <w:rPr>
          <w:b/>
          <w:bCs/>
        </w:rPr>
        <w:t>4</w:t>
      </w:r>
      <w:r w:rsidRPr="00B62FDD">
        <w:rPr>
          <w:b/>
          <w:bCs/>
        </w:rPr>
        <w:t xml:space="preserve">: </w:t>
      </w:r>
      <w:r w:rsidRPr="00E760CC">
        <w:rPr>
          <w:b/>
          <w:bCs/>
          <w:lang w:val="en-GB"/>
        </w:rPr>
        <w:t xml:space="preserve">Functionality-based LCM and model-ID-based LCM </w:t>
      </w:r>
      <w:r w:rsidR="00725627">
        <w:rPr>
          <w:b/>
          <w:bCs/>
        </w:rPr>
        <w:t>may be</w:t>
      </w:r>
      <w:r w:rsidRPr="00E760CC">
        <w:rPr>
          <w:b/>
          <w:bCs/>
        </w:rPr>
        <w:t xml:space="preserve"> applicable for potentially different use cases, </w:t>
      </w:r>
      <w:r w:rsidR="00EE72C5" w:rsidRPr="00E760CC">
        <w:rPr>
          <w:b/>
          <w:bCs/>
        </w:rPr>
        <w:t>model deployments</w:t>
      </w:r>
      <w:r w:rsidRPr="00E760CC">
        <w:rPr>
          <w:b/>
          <w:bCs/>
        </w:rPr>
        <w:t>, and collaboration levels.</w:t>
      </w:r>
    </w:p>
    <w:p w14:paraId="3BE746CE" w14:textId="35BA0FC7" w:rsidR="009D659E" w:rsidRPr="00E760CC" w:rsidRDefault="009D659E" w:rsidP="00482FD6">
      <w:pPr>
        <w:rPr>
          <w:b/>
          <w:bCs/>
        </w:rPr>
      </w:pPr>
      <w:r w:rsidRPr="00E760CC">
        <w:rPr>
          <w:b/>
          <w:bCs/>
        </w:rPr>
        <w:t xml:space="preserve">Proposal </w:t>
      </w:r>
      <w:r w:rsidR="00B62FDD">
        <w:rPr>
          <w:b/>
          <w:bCs/>
        </w:rPr>
        <w:t>2</w:t>
      </w:r>
      <w:r w:rsidRPr="00E760CC">
        <w:rPr>
          <w:b/>
          <w:bCs/>
        </w:rPr>
        <w:t xml:space="preserve">: </w:t>
      </w:r>
      <w:r w:rsidR="004C273D" w:rsidRPr="00E760CC">
        <w:rPr>
          <w:b/>
          <w:bCs/>
        </w:rPr>
        <w:t>Whether to have functionality-based LCM as common baseline or have model-ID based LCM as unifying superset of two LCMs can be decided during the work item when further details of identification methods and applicable conditions are decided.</w:t>
      </w:r>
      <w:r w:rsidRPr="00E760CC">
        <w:rPr>
          <w:b/>
          <w:bCs/>
        </w:rPr>
        <w:t xml:space="preserve"> </w:t>
      </w:r>
    </w:p>
    <w:p w14:paraId="6166803B" w14:textId="3E043160" w:rsidR="00F53EF8" w:rsidRDefault="00F53EF8" w:rsidP="00E760CC">
      <w:pPr>
        <w:spacing w:before="240"/>
      </w:pPr>
      <w:r>
        <w:t xml:space="preserve">It is possible that a single model may not generalize well for </w:t>
      </w:r>
      <w:r w:rsidR="00B62FDD">
        <w:t>all the</w:t>
      </w:r>
      <w:r>
        <w:t xml:space="preserve"> use cases/deployment scenarios or lead to undesirable tradeoff between model size and performance. One option is then to train multiple smaller models for specific scenario/configuration/site. But in this case the UE may have limitations in terms of storage space. </w:t>
      </w:r>
      <w:r w:rsidR="007D4BB3">
        <w:t xml:space="preserve">It can be argued that the UE can finetune/update the model to match the operating condition. </w:t>
      </w:r>
      <w:r w:rsidR="002049CF">
        <w:t xml:space="preserve">But it not clear if the latency, processing capability and overhead associated with model finetuning on the UE is desirable. </w:t>
      </w:r>
      <w:r w:rsidR="00244D38">
        <w:t>Another option is to use m</w:t>
      </w:r>
      <w:r>
        <w:t xml:space="preserve">odel delivery/transfer to relax the UE storage requirements. </w:t>
      </w:r>
      <w:r w:rsidR="004A648B">
        <w:t>However overhead</w:t>
      </w:r>
      <w:r>
        <w:t xml:space="preserve"> and/or latency associated with model delivery/transfer should be carefully considered.</w:t>
      </w:r>
      <w:r w:rsidR="004A648B">
        <w:t xml:space="preserve"> </w:t>
      </w:r>
      <w:r w:rsidR="002049CF">
        <w:t xml:space="preserve">In </w:t>
      </w:r>
      <w:r w:rsidR="00B62FDD">
        <w:t xml:space="preserve">RAN1#112 [7], different cases (y, z1, z2, z3, z4 and z5) for model delivery/transfer as agreed to facilitate further discussion. At high level, the different cases are categorized based on format of model transfer, model storage location and training location. In the </w:t>
      </w:r>
      <w:r w:rsidR="002049CF">
        <w:t xml:space="preserve">last meeting, </w:t>
      </w:r>
      <w:r w:rsidR="00B62FDD">
        <w:t>the different cases</w:t>
      </w:r>
      <w:r w:rsidR="002049CF">
        <w:t xml:space="preserve"> for model transfer were analyzed in terms of benefits, challenges, and specification impacts. </w:t>
      </w:r>
      <w:r w:rsidR="00F11F0A">
        <w:t xml:space="preserve">It is sufficient from the study item perspective in RAN1 to capture the conditions where model transfer will be beneficial, but the actual details of model transfer should be up to RAN2. </w:t>
      </w:r>
    </w:p>
    <w:p w14:paraId="532AAAA9" w14:textId="6FD63E3E" w:rsidR="009D45BC" w:rsidRDefault="004A2282" w:rsidP="009D45BC">
      <w:pPr>
        <w:spacing w:before="240"/>
        <w:rPr>
          <w:b/>
          <w:bCs/>
        </w:rPr>
      </w:pPr>
      <w:r w:rsidRPr="004A2282">
        <w:rPr>
          <w:b/>
          <w:bCs/>
        </w:rPr>
        <w:t>Observation</w:t>
      </w:r>
      <w:r w:rsidR="00B62FDD">
        <w:rPr>
          <w:b/>
          <w:bCs/>
        </w:rPr>
        <w:t xml:space="preserve"> 5</w:t>
      </w:r>
      <w:r w:rsidR="009D45BC" w:rsidRPr="00E760CC">
        <w:rPr>
          <w:b/>
          <w:bCs/>
        </w:rPr>
        <w:t xml:space="preserve">: </w:t>
      </w:r>
      <w:r w:rsidR="009D45BC">
        <w:rPr>
          <w:b/>
          <w:bCs/>
        </w:rPr>
        <w:t>In cases where model generalization</w:t>
      </w:r>
      <w:r w:rsidR="002049CF">
        <w:rPr>
          <w:b/>
          <w:bCs/>
        </w:rPr>
        <w:t>, model finetuning</w:t>
      </w:r>
      <w:r w:rsidR="009D45BC">
        <w:rPr>
          <w:b/>
          <w:bCs/>
        </w:rPr>
        <w:t xml:space="preserve"> or model storage/switching is not feasible, model delivery/transfer can be beneficial. </w:t>
      </w:r>
    </w:p>
    <w:p w14:paraId="228921FC" w14:textId="2FA69D7D" w:rsidR="009D45BC" w:rsidRPr="00E760CC" w:rsidRDefault="004A2282" w:rsidP="00E760CC">
      <w:pPr>
        <w:spacing w:before="240"/>
        <w:rPr>
          <w:b/>
          <w:bCs/>
        </w:rPr>
      </w:pPr>
      <w:r>
        <w:rPr>
          <w:b/>
          <w:bCs/>
        </w:rPr>
        <w:t>Proposal</w:t>
      </w:r>
      <w:r w:rsidR="00B62FDD">
        <w:rPr>
          <w:b/>
          <w:bCs/>
        </w:rPr>
        <w:t xml:space="preserve"> 3</w:t>
      </w:r>
      <w:r>
        <w:rPr>
          <w:b/>
          <w:bCs/>
        </w:rPr>
        <w:t>:</w:t>
      </w:r>
      <w:r w:rsidR="009D45BC">
        <w:rPr>
          <w:b/>
          <w:bCs/>
        </w:rPr>
        <w:t xml:space="preserve"> </w:t>
      </w:r>
      <w:r w:rsidR="009D45BC" w:rsidRPr="009D45BC">
        <w:rPr>
          <w:b/>
          <w:bCs/>
        </w:rPr>
        <w:t>Model delivery/transfer mechanism, including the need</w:t>
      </w:r>
      <w:r w:rsidR="00332738">
        <w:rPr>
          <w:b/>
          <w:bCs/>
        </w:rPr>
        <w:t xml:space="preserve"> </w:t>
      </w:r>
      <w:r w:rsidR="009D45BC" w:rsidRPr="009D45BC">
        <w:rPr>
          <w:b/>
          <w:bCs/>
        </w:rPr>
        <w:t>of doing it over the air interface in a manner that is not transparent to 3GPP signaling, is contingent on training entity (OTT/gNB/CN/LMF/OAM), model storage entity (OTT/gNB/CN/LMF/OAM), and delivery/transfer mechanism (CP/UP), and is outside the RAN1 scope</w:t>
      </w:r>
      <w:r w:rsidR="009D45BC" w:rsidRPr="00E760CC">
        <w:rPr>
          <w:b/>
          <w:bCs/>
        </w:rPr>
        <w:t>.</w:t>
      </w:r>
    </w:p>
    <w:p w14:paraId="69020D65" w14:textId="77777777" w:rsidR="009D45BC" w:rsidRDefault="009D45BC" w:rsidP="00721757">
      <w:pPr>
        <w:rPr>
          <w:b/>
          <w:bCs/>
        </w:rPr>
      </w:pPr>
    </w:p>
    <w:p w14:paraId="07B6FF58" w14:textId="26459C25" w:rsidR="001E13C7" w:rsidRDefault="004E70FA" w:rsidP="00E42909">
      <w:pPr>
        <w:pStyle w:val="Heading2"/>
        <w:rPr>
          <w:b/>
          <w:bCs/>
        </w:rPr>
      </w:pPr>
      <w:r>
        <w:t>A</w:t>
      </w:r>
      <w:r w:rsidR="00A54E69" w:rsidRPr="00A54E69">
        <w:t>ssess</w:t>
      </w:r>
      <w:r>
        <w:t>ment</w:t>
      </w:r>
      <w:r w:rsidR="00A54E69" w:rsidRPr="00A54E69">
        <w:t>/monitor</w:t>
      </w:r>
      <w:r>
        <w:t>ing</w:t>
      </w:r>
      <w:r w:rsidR="00A54E69" w:rsidRPr="00A54E69">
        <w:t xml:space="preserve"> the applicability and expected performance of an inactive model/</w:t>
      </w:r>
      <w:proofErr w:type="gramStart"/>
      <w:r w:rsidR="00A54E69" w:rsidRPr="00A54E69">
        <w:t>functionality</w:t>
      </w:r>
      <w:proofErr w:type="gramEnd"/>
    </w:p>
    <w:p w14:paraId="2D76690C" w14:textId="15035632" w:rsidR="006166A3" w:rsidRDefault="006166A3" w:rsidP="006166A3">
      <w:r>
        <w:t>During the model monitoring stage of LCM, it may be determined that the performance of the active model does not meet configured criteria. In this case, there may be a need to perform selection/switching/activation of the active UE-side/UE-part of two-sided model, to one of the UE-supported inactive models.  As model performance may be sensitive to variations in channel conditions, input data distribution, as well as other additional conditions, it is important to assess whether the candidate inactive model(s) are applicable and meet the expected performance in the current conditions.</w:t>
      </w:r>
    </w:p>
    <w:p w14:paraId="32A8C102" w14:textId="41E7006C" w:rsidR="006166A3" w:rsidRPr="00E42909" w:rsidRDefault="006166A3" w:rsidP="006166A3">
      <w:pPr>
        <w:rPr>
          <w:b/>
          <w:bCs/>
        </w:rPr>
      </w:pPr>
      <w:proofErr w:type="gramStart"/>
      <w:r w:rsidRPr="00E42909">
        <w:rPr>
          <w:b/>
          <w:bCs/>
        </w:rPr>
        <w:t>Observation :</w:t>
      </w:r>
      <w:proofErr w:type="gramEnd"/>
      <w:r w:rsidRPr="00E42909">
        <w:rPr>
          <w:b/>
          <w:bCs/>
        </w:rPr>
        <w:t xml:space="preserve"> Assessing/monitoring the applicability and expected performance of inactive model(s) is needed to maintain expected performance if/when UE-side model selection/switching/activation is performed.</w:t>
      </w:r>
    </w:p>
    <w:p w14:paraId="6494D229" w14:textId="4B9C570D" w:rsidR="00B74AD5" w:rsidRDefault="00B74AD5" w:rsidP="00B74AD5">
      <w:r>
        <w:t>During the model monitoring stage of LCM, the UE may perform input data distribution</w:t>
      </w:r>
      <w:r w:rsidR="00893F63">
        <w:t xml:space="preserve"> measurements</w:t>
      </w:r>
      <w:r>
        <w:t xml:space="preserve">, </w:t>
      </w:r>
      <w:r w:rsidR="00182D35">
        <w:t xml:space="preserve">for example </w:t>
      </w:r>
      <w:r>
        <w:t xml:space="preserve">to determine whether the input data is in-distribution or out-of-distribution with respect to the training dataset of the active </w:t>
      </w:r>
      <w:r w:rsidR="00333253">
        <w:t xml:space="preserve">UE-side/UE-part </w:t>
      </w:r>
      <w:r>
        <w:t xml:space="preserve">model. </w:t>
      </w:r>
      <w:r w:rsidR="00882989">
        <w:t xml:space="preserve">The input data distribution measurements may </w:t>
      </w:r>
      <w:r w:rsidR="00FF1683">
        <w:t xml:space="preserve">also </w:t>
      </w:r>
      <w:r w:rsidR="00882989">
        <w:t xml:space="preserve">be used to assess the applicability of </w:t>
      </w:r>
      <w:r w:rsidR="001720E2">
        <w:t>one or more of the inactive UE-side/UE-part models.</w:t>
      </w:r>
      <w:r>
        <w:t xml:space="preserve"> In some scenarios, </w:t>
      </w:r>
      <w:r w:rsidR="001D1563">
        <w:t xml:space="preserve">the UE may </w:t>
      </w:r>
      <w:r w:rsidR="00E86AB2">
        <w:t xml:space="preserve">perform measurements for </w:t>
      </w:r>
      <w:r w:rsidR="00F7176A">
        <w:t xml:space="preserve">additional conditions such as </w:t>
      </w:r>
      <w:r w:rsidR="00B56039">
        <w:t>scenarios</w:t>
      </w:r>
      <w:r w:rsidR="009421E7">
        <w:t>, sites</w:t>
      </w:r>
      <w:r w:rsidR="00595D90">
        <w:t>, channel conditions (potentially related to SNR, UE speed, etc.)</w:t>
      </w:r>
      <w:r w:rsidR="004D586C">
        <w:t xml:space="preserve">. It </w:t>
      </w:r>
      <w:r>
        <w:t>may be possible</w:t>
      </w:r>
      <w:r w:rsidR="004D586C">
        <w:t xml:space="preserve"> for the UE</w:t>
      </w:r>
      <w:r>
        <w:t xml:space="preserve"> to use these measurements to assess the applicability of inactive models</w:t>
      </w:r>
      <w:r w:rsidR="003328FE">
        <w:t xml:space="preserve"> to the current conditions</w:t>
      </w:r>
      <w:r>
        <w:t xml:space="preserve">. The details may depend on the use case, as well as on the definition of the conditions/additional conditions and how to include them in the model description information.  </w:t>
      </w:r>
    </w:p>
    <w:p w14:paraId="516C3078" w14:textId="3C23B3B9" w:rsidR="004E70FA" w:rsidRPr="00B329A2" w:rsidRDefault="00B74AD5" w:rsidP="00721757">
      <w:pPr>
        <w:rPr>
          <w:b/>
          <w:bCs/>
        </w:rPr>
      </w:pPr>
      <w:r>
        <w:t xml:space="preserve">Standardization impacts may include configuring/activating the monitoring of the inactive model, as well as </w:t>
      </w:r>
      <w:r w:rsidR="00204180">
        <w:t xml:space="preserve">triggers and means to </w:t>
      </w:r>
      <w:r>
        <w:t>report the ID/model ID of the applicable model(s).</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21C0400A"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6298C15" w14:textId="77777777" w:rsidR="004E7953" w:rsidRPr="007C04A6" w:rsidRDefault="004E7953" w:rsidP="004E7953">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2EFE116" w14:textId="77777777" w:rsidR="004E7953" w:rsidRDefault="004E7953" w:rsidP="004E7953">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38FE5BFB" w14:textId="77777777" w:rsidR="004E7953" w:rsidRDefault="004E7953" w:rsidP="004E7953">
      <w:pPr>
        <w:spacing w:before="240"/>
        <w:rPr>
          <w:b/>
          <w:bCs/>
        </w:rPr>
      </w:pPr>
      <w:r w:rsidRPr="00C32A6B">
        <w:rPr>
          <w:b/>
          <w:bCs/>
        </w:rPr>
        <w:t xml:space="preserve">Observation </w:t>
      </w:r>
      <w:r>
        <w:rPr>
          <w:b/>
          <w:bCs/>
        </w:rPr>
        <w:t>3</w:t>
      </w:r>
      <w:r w:rsidRPr="00E45E9D">
        <w:rPr>
          <w:b/>
          <w:bCs/>
        </w:rPr>
        <w:t xml:space="preserve">: </w:t>
      </w:r>
      <w:r>
        <w:rPr>
          <w:b/>
          <w:bCs/>
        </w:rPr>
        <w:t xml:space="preserve">Different options for functionality-based LCM are possible based on the granularity of functionality and the static vs dynamic nature of applicable conditions. </w:t>
      </w:r>
    </w:p>
    <w:p w14:paraId="2E0A200E" w14:textId="74AD4FDD" w:rsidR="00EE123C" w:rsidRDefault="00EE123C" w:rsidP="004E7953">
      <w:pPr>
        <w:spacing w:before="240"/>
        <w:rPr>
          <w:b/>
          <w:bCs/>
        </w:rPr>
      </w:pPr>
      <w:r w:rsidRPr="00EE123C">
        <w:rPr>
          <w:b/>
          <w:bCs/>
        </w:rPr>
        <w:t xml:space="preserve">Observation 4: Functionality-based LCM and model-ID-based LCM </w:t>
      </w:r>
      <w:r w:rsidR="00725627">
        <w:rPr>
          <w:b/>
          <w:bCs/>
        </w:rPr>
        <w:t>may be</w:t>
      </w:r>
      <w:r w:rsidRPr="00EE123C">
        <w:rPr>
          <w:b/>
          <w:bCs/>
        </w:rPr>
        <w:t xml:space="preserve"> applicable for potentially different use cases, model deployments, and collaboration levels.</w:t>
      </w:r>
    </w:p>
    <w:p w14:paraId="23E35712" w14:textId="48AEF443" w:rsidR="00EE123C" w:rsidRDefault="00EE123C" w:rsidP="004E7953">
      <w:pPr>
        <w:spacing w:before="240"/>
        <w:rPr>
          <w:b/>
          <w:bCs/>
        </w:rPr>
      </w:pPr>
      <w:r w:rsidRPr="00EE123C">
        <w:rPr>
          <w:b/>
          <w:bCs/>
        </w:rPr>
        <w:t xml:space="preserve">Observation 5: In cases where model generalization, model finetuning or model storage/switching is not feasible, model delivery/transfer can be beneficial. </w:t>
      </w:r>
    </w:p>
    <w:p w14:paraId="2329FFCD" w14:textId="0B3BEF07" w:rsidR="00EE123C" w:rsidRDefault="00EE123C" w:rsidP="004E7953">
      <w:pPr>
        <w:spacing w:before="240"/>
        <w:rPr>
          <w:b/>
          <w:bCs/>
        </w:rPr>
      </w:pPr>
      <w:r w:rsidRPr="00EE123C">
        <w:rPr>
          <w:b/>
          <w:bCs/>
        </w:rPr>
        <w:lastRenderedPageBreak/>
        <w:t>Observation 6: Assessing/monitoring the applicability and expected performance of inactive model(s) is needed to maintain expected performance if/when UE-side model selection/switching/activation is performed.</w:t>
      </w:r>
    </w:p>
    <w:p w14:paraId="4A812F8D" w14:textId="5A58FE8B" w:rsidR="00EE123C" w:rsidRDefault="00EE123C" w:rsidP="004E7953">
      <w:pPr>
        <w:spacing w:before="240"/>
        <w:rPr>
          <w:b/>
          <w:bCs/>
        </w:rPr>
      </w:pPr>
      <w:r w:rsidRPr="00EE123C">
        <w:rPr>
          <w:b/>
          <w:bCs/>
        </w:rPr>
        <w:t xml:space="preserve">Proposal </w:t>
      </w:r>
      <w:r>
        <w:rPr>
          <w:b/>
          <w:bCs/>
        </w:rPr>
        <w:t>1</w:t>
      </w:r>
      <w:r w:rsidRPr="00EE123C">
        <w:rPr>
          <w:b/>
          <w:bCs/>
        </w:rPr>
        <w:t xml:space="preserve">: Whether to have functionality-based LCM as common baseline or have model-ID based LCM as unifying superset of two LCMs can be decided during the work item when further details of identification methods and applicable conditions are decided. </w:t>
      </w:r>
    </w:p>
    <w:p w14:paraId="7FE64DE0" w14:textId="646B4C57" w:rsidR="00EE123C" w:rsidRPr="00665448" w:rsidRDefault="00EE123C" w:rsidP="00EE123C">
      <w:pPr>
        <w:spacing w:before="240"/>
        <w:rPr>
          <w:b/>
          <w:bCs/>
        </w:rPr>
      </w:pPr>
      <w:r>
        <w:rPr>
          <w:b/>
          <w:bCs/>
        </w:rPr>
        <w:t xml:space="preserve">Proposal 2: </w:t>
      </w:r>
      <w:r w:rsidRPr="009D45BC">
        <w:rPr>
          <w:b/>
          <w:bCs/>
        </w:rPr>
        <w:t>Model delivery/transfer mechanism, including the need</w:t>
      </w:r>
      <w:r w:rsidR="00332738">
        <w:rPr>
          <w:b/>
          <w:bCs/>
        </w:rPr>
        <w:t xml:space="preserve"> </w:t>
      </w:r>
      <w:r w:rsidRPr="009D45BC">
        <w:rPr>
          <w:b/>
          <w:bCs/>
        </w:rPr>
        <w:t>of doing it over the air interface in a manner that is not transparent to 3GPP signaling, is contingent on training entity (OTT/gNB/CN/LMF/OAM), model storage entity (OTT/gNB/CN/LMF/OAM), and delivery/transfer mechanism (CP/UP), and is outside the RAN1 scope</w:t>
      </w:r>
      <w:r w:rsidRPr="00665448">
        <w:rPr>
          <w:b/>
          <w:bCs/>
        </w:rPr>
        <w:t>.</w:t>
      </w: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4" w:name="_Ref370891592"/>
      <w:bookmarkStart w:id="5" w:name="_Ref399440155"/>
      <w:bookmarkStart w:id="6" w:name="_Ref401222022"/>
      <w:bookmarkStart w:id="7" w:name="_Ref403048963"/>
      <w:bookmarkStart w:id="8" w:name="_Ref416167577"/>
      <w:r w:rsidRPr="00643480">
        <w:rPr>
          <w:sz w:val="20"/>
        </w:rPr>
        <w:t>RP-</w:t>
      </w:r>
      <w:r>
        <w:rPr>
          <w:sz w:val="20"/>
        </w:rPr>
        <w:t>213599</w:t>
      </w:r>
      <w:r w:rsidRPr="00643480">
        <w:rPr>
          <w:sz w:val="20"/>
        </w:rPr>
        <w:t>, “</w:t>
      </w:r>
      <w:bookmarkEnd w:id="4"/>
      <w:bookmarkEnd w:id="5"/>
      <w:bookmarkEnd w:id="6"/>
      <w:bookmarkEnd w:id="7"/>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8"/>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t>RAN1 Chairman’s notes, RAN1#111,</w:t>
      </w:r>
      <w:r w:rsidR="003157AC">
        <w:rPr>
          <w:sz w:val="20"/>
        </w:rPr>
        <w:t xml:space="preserve"> November 2022.</w:t>
      </w:r>
    </w:p>
    <w:p w14:paraId="4E8E97AE" w14:textId="353DA05E" w:rsidR="00A869BD"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183DFC6F" w14:textId="6C325B90" w:rsidR="00137FCD" w:rsidRDefault="00137FCD" w:rsidP="00D94ED7">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w:t>
      </w:r>
      <w:r w:rsidRPr="00137FCD">
        <w:rPr>
          <w:sz w:val="20"/>
        </w:rPr>
        <w:t xml:space="preserve">, </w:t>
      </w:r>
      <w:r>
        <w:rPr>
          <w:sz w:val="20"/>
        </w:rPr>
        <w:t>March</w:t>
      </w:r>
      <w:r w:rsidRPr="00137FCD">
        <w:rPr>
          <w:sz w:val="20"/>
        </w:rPr>
        <w:t xml:space="preserve"> 202</w:t>
      </w:r>
      <w:r>
        <w:rPr>
          <w:sz w:val="20"/>
        </w:rPr>
        <w:t>3</w:t>
      </w:r>
    </w:p>
    <w:p w14:paraId="2979F6DB" w14:textId="18B63B22" w:rsidR="004008A8" w:rsidRDefault="004008A8" w:rsidP="004008A8">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2bis</w:t>
      </w:r>
      <w:r w:rsidRPr="00137FCD">
        <w:rPr>
          <w:sz w:val="20"/>
        </w:rPr>
        <w:t xml:space="preserve">, </w:t>
      </w:r>
      <w:r>
        <w:rPr>
          <w:sz w:val="20"/>
        </w:rPr>
        <w:t>April</w:t>
      </w:r>
      <w:r w:rsidRPr="00137FCD">
        <w:rPr>
          <w:sz w:val="20"/>
        </w:rPr>
        <w:t xml:space="preserve"> 202</w:t>
      </w:r>
      <w:r>
        <w:rPr>
          <w:sz w:val="20"/>
        </w:rPr>
        <w:t>3</w:t>
      </w:r>
    </w:p>
    <w:p w14:paraId="02E03109" w14:textId="5767D2EC" w:rsidR="000D045C" w:rsidRDefault="000D045C" w:rsidP="004008A8">
      <w:pPr>
        <w:pStyle w:val="Reference"/>
        <w:overflowPunct w:val="0"/>
        <w:autoSpaceDE w:val="0"/>
        <w:autoSpaceDN w:val="0"/>
        <w:adjustRightInd w:val="0"/>
        <w:spacing w:after="120" w:line="240" w:lineRule="auto"/>
        <w:textAlignment w:val="baseline"/>
        <w:rPr>
          <w:sz w:val="20"/>
        </w:rPr>
      </w:pPr>
      <w:bookmarkStart w:id="9" w:name="_Ref142606919"/>
      <w:r w:rsidRPr="00137FCD">
        <w:rPr>
          <w:sz w:val="20"/>
        </w:rPr>
        <w:t>RAN1 Chairman’s notes, RAN1#11</w:t>
      </w:r>
      <w:r>
        <w:rPr>
          <w:sz w:val="20"/>
        </w:rPr>
        <w:t>3</w:t>
      </w:r>
      <w:r w:rsidRPr="00137FCD">
        <w:rPr>
          <w:sz w:val="20"/>
        </w:rPr>
        <w:t xml:space="preserve">, </w:t>
      </w:r>
      <w:r>
        <w:rPr>
          <w:sz w:val="20"/>
        </w:rPr>
        <w:t>May</w:t>
      </w:r>
      <w:r w:rsidRPr="00137FCD">
        <w:rPr>
          <w:sz w:val="20"/>
        </w:rPr>
        <w:t xml:space="preserve"> 202</w:t>
      </w:r>
      <w:r>
        <w:rPr>
          <w:sz w:val="20"/>
        </w:rPr>
        <w:t>3</w:t>
      </w:r>
      <w:bookmarkEnd w:id="9"/>
    </w:p>
    <w:p w14:paraId="30032DF7" w14:textId="65EF1E54" w:rsidR="004C5FDC" w:rsidRPr="00D94ED7" w:rsidRDefault="004C5FDC" w:rsidP="004008A8">
      <w:pPr>
        <w:pStyle w:val="Reference"/>
        <w:overflowPunct w:val="0"/>
        <w:autoSpaceDE w:val="0"/>
        <w:autoSpaceDN w:val="0"/>
        <w:adjustRightInd w:val="0"/>
        <w:spacing w:after="120" w:line="240" w:lineRule="auto"/>
        <w:textAlignment w:val="baseline"/>
        <w:rPr>
          <w:sz w:val="20"/>
        </w:rPr>
      </w:pPr>
      <w:r>
        <w:rPr>
          <w:sz w:val="20"/>
        </w:rPr>
        <w:t>RAN1 Chairman’s notes, RAN1#114, Aug 2023</w:t>
      </w:r>
    </w:p>
    <w:p w14:paraId="62EF864A" w14:textId="77777777" w:rsidR="004008A8" w:rsidRPr="00D94ED7"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w:t>
                  </w:r>
                  <w:proofErr w:type="spellStart"/>
                  <w:r w:rsidRPr="0079365D">
                    <w:rPr>
                      <w:rFonts w:ascii="Arial" w:hAnsi="Arial" w:cs="Arial"/>
                      <w:sz w:val="16"/>
                      <w:szCs w:val="16"/>
                      <w:lang w:val="it-IT"/>
                    </w:rPr>
                    <w:t>sided</w:t>
                  </w:r>
                  <w:proofErr w:type="spellEnd"/>
                  <w:r w:rsidRPr="0079365D">
                    <w:rPr>
                      <w:rFonts w:ascii="Arial" w:hAnsi="Arial" w:cs="Arial"/>
                      <w:sz w:val="16"/>
                      <w:szCs w:val="16"/>
                      <w:lang w:val="it-IT"/>
                    </w:rPr>
                    <w:t xml:space="preserve">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sectPr w:rsidR="005B3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8D2B" w14:textId="77777777" w:rsidR="00927582" w:rsidRDefault="00927582" w:rsidP="00C43ABF">
      <w:pPr>
        <w:spacing w:after="0" w:line="240" w:lineRule="auto"/>
      </w:pPr>
      <w:r>
        <w:separator/>
      </w:r>
    </w:p>
  </w:endnote>
  <w:endnote w:type="continuationSeparator" w:id="0">
    <w:p w14:paraId="08702D0B" w14:textId="77777777" w:rsidR="00927582" w:rsidRDefault="00927582"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60001" w14:textId="77777777" w:rsidR="00927582" w:rsidRDefault="00927582" w:rsidP="00C43ABF">
      <w:pPr>
        <w:spacing w:after="0" w:line="240" w:lineRule="auto"/>
      </w:pPr>
      <w:r>
        <w:separator/>
      </w:r>
    </w:p>
  </w:footnote>
  <w:footnote w:type="continuationSeparator" w:id="0">
    <w:p w14:paraId="0B52FAD4" w14:textId="77777777" w:rsidR="00927582" w:rsidRDefault="00927582"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D3411"/>
    <w:multiLevelType w:val="hybridMultilevel"/>
    <w:tmpl w:val="50C85B0A"/>
    <w:lvl w:ilvl="0" w:tplc="73D66CE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E01F07"/>
    <w:multiLevelType w:val="hybridMultilevel"/>
    <w:tmpl w:val="F9DC129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814A7"/>
    <w:multiLevelType w:val="hybridMultilevel"/>
    <w:tmpl w:val="DB0E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36A15"/>
    <w:multiLevelType w:val="hybridMultilevel"/>
    <w:tmpl w:val="134A7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FD03E7"/>
    <w:multiLevelType w:val="hybridMultilevel"/>
    <w:tmpl w:val="DCF8923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D234710"/>
    <w:multiLevelType w:val="hybridMultilevel"/>
    <w:tmpl w:val="E4CCE792"/>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3"/>
  </w:num>
  <w:num w:numId="2" w16cid:durableId="1863856452">
    <w:abstractNumId w:val="29"/>
  </w:num>
  <w:num w:numId="3" w16cid:durableId="1019233074">
    <w:abstractNumId w:val="43"/>
  </w:num>
  <w:num w:numId="4" w16cid:durableId="961108247">
    <w:abstractNumId w:val="34"/>
  </w:num>
  <w:num w:numId="5" w16cid:durableId="1563054208">
    <w:abstractNumId w:val="9"/>
  </w:num>
  <w:num w:numId="6" w16cid:durableId="1900826303">
    <w:abstractNumId w:val="46"/>
  </w:num>
  <w:num w:numId="7" w16cid:durableId="1026055355">
    <w:abstractNumId w:val="24"/>
  </w:num>
  <w:num w:numId="8" w16cid:durableId="292633759">
    <w:abstractNumId w:val="37"/>
  </w:num>
  <w:num w:numId="9" w16cid:durableId="1959095225">
    <w:abstractNumId w:val="30"/>
  </w:num>
  <w:num w:numId="10" w16cid:durableId="311643229">
    <w:abstractNumId w:val="36"/>
  </w:num>
  <w:num w:numId="11" w16cid:durableId="1779761817">
    <w:abstractNumId w:val="4"/>
  </w:num>
  <w:num w:numId="12" w16cid:durableId="1733887877">
    <w:abstractNumId w:val="14"/>
  </w:num>
  <w:num w:numId="13" w16cid:durableId="851451823">
    <w:abstractNumId w:val="25"/>
  </w:num>
  <w:num w:numId="14" w16cid:durableId="368148381">
    <w:abstractNumId w:val="42"/>
  </w:num>
  <w:num w:numId="15" w16cid:durableId="1460951979">
    <w:abstractNumId w:val="40"/>
  </w:num>
  <w:num w:numId="16" w16cid:durableId="1137407444">
    <w:abstractNumId w:val="12"/>
  </w:num>
  <w:num w:numId="17" w16cid:durableId="865094336">
    <w:abstractNumId w:val="28"/>
  </w:num>
  <w:num w:numId="18" w16cid:durableId="1325015978">
    <w:abstractNumId w:val="29"/>
  </w:num>
  <w:num w:numId="19" w16cid:durableId="1016424461">
    <w:abstractNumId w:val="32"/>
  </w:num>
  <w:num w:numId="20" w16cid:durableId="937912600">
    <w:abstractNumId w:val="10"/>
  </w:num>
  <w:num w:numId="21" w16cid:durableId="789129705">
    <w:abstractNumId w:val="11"/>
  </w:num>
  <w:num w:numId="22" w16cid:durableId="433984084">
    <w:abstractNumId w:val="27"/>
  </w:num>
  <w:num w:numId="23" w16cid:durableId="995258437">
    <w:abstractNumId w:val="2"/>
  </w:num>
  <w:num w:numId="24" w16cid:durableId="587543793">
    <w:abstractNumId w:val="18"/>
  </w:num>
  <w:num w:numId="25" w16cid:durableId="2040005987">
    <w:abstractNumId w:val="22"/>
  </w:num>
  <w:num w:numId="26" w16cid:durableId="993879069">
    <w:abstractNumId w:val="44"/>
  </w:num>
  <w:num w:numId="27" w16cid:durableId="405761064">
    <w:abstractNumId w:val="15"/>
  </w:num>
  <w:num w:numId="28" w16cid:durableId="1575578389">
    <w:abstractNumId w:val="6"/>
  </w:num>
  <w:num w:numId="29" w16cid:durableId="899751149">
    <w:abstractNumId w:val="45"/>
  </w:num>
  <w:num w:numId="30" w16cid:durableId="1687559480">
    <w:abstractNumId w:val="33"/>
  </w:num>
  <w:num w:numId="31" w16cid:durableId="1215890721">
    <w:abstractNumId w:val="39"/>
  </w:num>
  <w:num w:numId="32" w16cid:durableId="721908341">
    <w:abstractNumId w:val="3"/>
  </w:num>
  <w:num w:numId="33" w16cid:durableId="1206481982">
    <w:abstractNumId w:val="20"/>
  </w:num>
  <w:num w:numId="34" w16cid:durableId="1418793226">
    <w:abstractNumId w:val="38"/>
  </w:num>
  <w:num w:numId="35" w16cid:durableId="760755243">
    <w:abstractNumId w:val="41"/>
  </w:num>
  <w:num w:numId="36" w16cid:durableId="2043363084">
    <w:abstractNumId w:val="35"/>
  </w:num>
  <w:num w:numId="37" w16cid:durableId="714161496">
    <w:abstractNumId w:val="21"/>
  </w:num>
  <w:num w:numId="38" w16cid:durableId="2088382387">
    <w:abstractNumId w:val="7"/>
  </w:num>
  <w:num w:numId="39" w16cid:durableId="1853030409">
    <w:abstractNumId w:val="5"/>
  </w:num>
  <w:num w:numId="40" w16cid:durableId="651325646">
    <w:abstractNumId w:val="8"/>
  </w:num>
  <w:num w:numId="41" w16cid:durableId="1794901778">
    <w:abstractNumId w:val="47"/>
  </w:num>
  <w:num w:numId="42" w16cid:durableId="1692103865">
    <w:abstractNumId w:val="23"/>
  </w:num>
  <w:num w:numId="43" w16cid:durableId="1295329815">
    <w:abstractNumId w:val="19"/>
  </w:num>
  <w:num w:numId="44" w16cid:durableId="301271993">
    <w:abstractNumId w:val="26"/>
  </w:num>
  <w:num w:numId="45" w16cid:durableId="47920539">
    <w:abstractNumId w:val="16"/>
  </w:num>
  <w:num w:numId="46" w16cid:durableId="1299992427">
    <w:abstractNumId w:val="1"/>
  </w:num>
  <w:num w:numId="47" w16cid:durableId="2030527176">
    <w:abstractNumId w:val="0"/>
  </w:num>
  <w:num w:numId="48" w16cid:durableId="1290891945">
    <w:abstractNumId w:val="13"/>
  </w:num>
  <w:num w:numId="49" w16cid:durableId="2109546750">
    <w:abstractNumId w:val="31"/>
  </w:num>
  <w:num w:numId="50" w16cid:durableId="16137811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F71"/>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9B3"/>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6C"/>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B10"/>
    <w:rsid w:val="00104D08"/>
    <w:rsid w:val="0010553A"/>
    <w:rsid w:val="001058F0"/>
    <w:rsid w:val="00105F63"/>
    <w:rsid w:val="00105F6C"/>
    <w:rsid w:val="001065D8"/>
    <w:rsid w:val="00106CC8"/>
    <w:rsid w:val="00106ED6"/>
    <w:rsid w:val="0010747C"/>
    <w:rsid w:val="00107B75"/>
    <w:rsid w:val="001110FF"/>
    <w:rsid w:val="001114FB"/>
    <w:rsid w:val="001115E7"/>
    <w:rsid w:val="00111D4A"/>
    <w:rsid w:val="00112553"/>
    <w:rsid w:val="00112EFA"/>
    <w:rsid w:val="001139C8"/>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4C06"/>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1B04"/>
    <w:rsid w:val="0018216D"/>
    <w:rsid w:val="00182173"/>
    <w:rsid w:val="00182BCF"/>
    <w:rsid w:val="00182D27"/>
    <w:rsid w:val="00182D35"/>
    <w:rsid w:val="00183126"/>
    <w:rsid w:val="00183242"/>
    <w:rsid w:val="001836EE"/>
    <w:rsid w:val="001854D2"/>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035"/>
    <w:rsid w:val="001C572A"/>
    <w:rsid w:val="001C6412"/>
    <w:rsid w:val="001C6584"/>
    <w:rsid w:val="001C66AC"/>
    <w:rsid w:val="001C67F3"/>
    <w:rsid w:val="001C750E"/>
    <w:rsid w:val="001C77F0"/>
    <w:rsid w:val="001C7BDB"/>
    <w:rsid w:val="001D00FD"/>
    <w:rsid w:val="001D0E4D"/>
    <w:rsid w:val="001D1163"/>
    <w:rsid w:val="001D15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3C7"/>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4D38"/>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6C0"/>
    <w:rsid w:val="002E5CD1"/>
    <w:rsid w:val="002E64E7"/>
    <w:rsid w:val="002E6539"/>
    <w:rsid w:val="002E66EF"/>
    <w:rsid w:val="002E6C9C"/>
    <w:rsid w:val="002F0067"/>
    <w:rsid w:val="002F085C"/>
    <w:rsid w:val="002F09C5"/>
    <w:rsid w:val="002F0C88"/>
    <w:rsid w:val="002F12EE"/>
    <w:rsid w:val="002F13DF"/>
    <w:rsid w:val="002F144C"/>
    <w:rsid w:val="002F182B"/>
    <w:rsid w:val="002F19B6"/>
    <w:rsid w:val="002F1DFA"/>
    <w:rsid w:val="002F2C2A"/>
    <w:rsid w:val="002F2F7A"/>
    <w:rsid w:val="002F35BD"/>
    <w:rsid w:val="002F35DB"/>
    <w:rsid w:val="002F4001"/>
    <w:rsid w:val="002F48BA"/>
    <w:rsid w:val="002F59B4"/>
    <w:rsid w:val="002F6586"/>
    <w:rsid w:val="002F72DB"/>
    <w:rsid w:val="002F7664"/>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409"/>
    <w:rsid w:val="00314659"/>
    <w:rsid w:val="00314674"/>
    <w:rsid w:val="00314772"/>
    <w:rsid w:val="003157A8"/>
    <w:rsid w:val="003157AC"/>
    <w:rsid w:val="00316298"/>
    <w:rsid w:val="003169BA"/>
    <w:rsid w:val="003176B4"/>
    <w:rsid w:val="00317919"/>
    <w:rsid w:val="003207BC"/>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306A"/>
    <w:rsid w:val="003C3A0A"/>
    <w:rsid w:val="003C3AA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5B26"/>
    <w:rsid w:val="003F6DA5"/>
    <w:rsid w:val="003F7070"/>
    <w:rsid w:val="003F77F2"/>
    <w:rsid w:val="003F78C5"/>
    <w:rsid w:val="00400628"/>
    <w:rsid w:val="0040065C"/>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3E45"/>
    <w:rsid w:val="004167C9"/>
    <w:rsid w:val="0041770E"/>
    <w:rsid w:val="00417DCE"/>
    <w:rsid w:val="00417F45"/>
    <w:rsid w:val="004223F8"/>
    <w:rsid w:val="0042335A"/>
    <w:rsid w:val="0042391B"/>
    <w:rsid w:val="0042407E"/>
    <w:rsid w:val="00424AB3"/>
    <w:rsid w:val="004250B2"/>
    <w:rsid w:val="00425411"/>
    <w:rsid w:val="0042595C"/>
    <w:rsid w:val="004277A9"/>
    <w:rsid w:val="00427C44"/>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2FD6"/>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50D6"/>
    <w:rsid w:val="00505367"/>
    <w:rsid w:val="00505642"/>
    <w:rsid w:val="00506217"/>
    <w:rsid w:val="0050711F"/>
    <w:rsid w:val="00510CB7"/>
    <w:rsid w:val="00511839"/>
    <w:rsid w:val="00512250"/>
    <w:rsid w:val="00513307"/>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1D2"/>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3F8"/>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2B2"/>
    <w:rsid w:val="00586D7F"/>
    <w:rsid w:val="00586F84"/>
    <w:rsid w:val="00587391"/>
    <w:rsid w:val="00587FA4"/>
    <w:rsid w:val="0059017B"/>
    <w:rsid w:val="00590579"/>
    <w:rsid w:val="005911E6"/>
    <w:rsid w:val="00591B30"/>
    <w:rsid w:val="00592941"/>
    <w:rsid w:val="00592D6D"/>
    <w:rsid w:val="005941F2"/>
    <w:rsid w:val="005947FD"/>
    <w:rsid w:val="00594B3D"/>
    <w:rsid w:val="00595343"/>
    <w:rsid w:val="005953CF"/>
    <w:rsid w:val="00595D90"/>
    <w:rsid w:val="005968FC"/>
    <w:rsid w:val="005969D8"/>
    <w:rsid w:val="00596F1A"/>
    <w:rsid w:val="00597193"/>
    <w:rsid w:val="00597E63"/>
    <w:rsid w:val="00597EE4"/>
    <w:rsid w:val="005A0907"/>
    <w:rsid w:val="005A2E19"/>
    <w:rsid w:val="005A3198"/>
    <w:rsid w:val="005A3F77"/>
    <w:rsid w:val="005A57D8"/>
    <w:rsid w:val="005A5E02"/>
    <w:rsid w:val="005A5F1B"/>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166A3"/>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290"/>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AB2"/>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627"/>
    <w:rsid w:val="00725A70"/>
    <w:rsid w:val="00731F71"/>
    <w:rsid w:val="00733931"/>
    <w:rsid w:val="00734F33"/>
    <w:rsid w:val="00735329"/>
    <w:rsid w:val="007353FB"/>
    <w:rsid w:val="00735495"/>
    <w:rsid w:val="00735979"/>
    <w:rsid w:val="00735BEF"/>
    <w:rsid w:val="007365E8"/>
    <w:rsid w:val="0074080E"/>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B78"/>
    <w:rsid w:val="00762C23"/>
    <w:rsid w:val="007639B7"/>
    <w:rsid w:val="007648DA"/>
    <w:rsid w:val="00764C84"/>
    <w:rsid w:val="00765AF5"/>
    <w:rsid w:val="00765C77"/>
    <w:rsid w:val="00765DA4"/>
    <w:rsid w:val="00766C9F"/>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2989"/>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27582"/>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5BC"/>
    <w:rsid w:val="009D4E1F"/>
    <w:rsid w:val="009D4E65"/>
    <w:rsid w:val="009D510C"/>
    <w:rsid w:val="009D5E06"/>
    <w:rsid w:val="009D5E6D"/>
    <w:rsid w:val="009D607D"/>
    <w:rsid w:val="009D659E"/>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460"/>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0E"/>
    <w:rsid w:val="00A37D4B"/>
    <w:rsid w:val="00A37DDB"/>
    <w:rsid w:val="00A404EF"/>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EA7"/>
    <w:rsid w:val="00A52314"/>
    <w:rsid w:val="00A52399"/>
    <w:rsid w:val="00A5261B"/>
    <w:rsid w:val="00A528AC"/>
    <w:rsid w:val="00A52D54"/>
    <w:rsid w:val="00A533AA"/>
    <w:rsid w:val="00A5380B"/>
    <w:rsid w:val="00A54A55"/>
    <w:rsid w:val="00A54E69"/>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CDF"/>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68B"/>
    <w:rsid w:val="00B12B56"/>
    <w:rsid w:val="00B143F7"/>
    <w:rsid w:val="00B1681C"/>
    <w:rsid w:val="00B1683C"/>
    <w:rsid w:val="00B20759"/>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549E"/>
    <w:rsid w:val="00B56039"/>
    <w:rsid w:val="00B566CA"/>
    <w:rsid w:val="00B57543"/>
    <w:rsid w:val="00B57AF8"/>
    <w:rsid w:val="00B615F4"/>
    <w:rsid w:val="00B61BE6"/>
    <w:rsid w:val="00B61D79"/>
    <w:rsid w:val="00B62217"/>
    <w:rsid w:val="00B62AD1"/>
    <w:rsid w:val="00B62FDD"/>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56D3"/>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7163"/>
    <w:rsid w:val="00C57404"/>
    <w:rsid w:val="00C57976"/>
    <w:rsid w:val="00C60042"/>
    <w:rsid w:val="00C6038C"/>
    <w:rsid w:val="00C610B9"/>
    <w:rsid w:val="00C61A57"/>
    <w:rsid w:val="00C62156"/>
    <w:rsid w:val="00C62644"/>
    <w:rsid w:val="00C62809"/>
    <w:rsid w:val="00C62F01"/>
    <w:rsid w:val="00C63336"/>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5D2C"/>
    <w:rsid w:val="00D36998"/>
    <w:rsid w:val="00D370B8"/>
    <w:rsid w:val="00D371AA"/>
    <w:rsid w:val="00D371BD"/>
    <w:rsid w:val="00D406A6"/>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20F0"/>
    <w:rsid w:val="00E2243C"/>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AB2"/>
    <w:rsid w:val="00E86D2C"/>
    <w:rsid w:val="00E8754A"/>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C1"/>
    <w:rsid w:val="00EB5BAB"/>
    <w:rsid w:val="00EB66D2"/>
    <w:rsid w:val="00EB6EC8"/>
    <w:rsid w:val="00EB72F6"/>
    <w:rsid w:val="00EB7E28"/>
    <w:rsid w:val="00EC098C"/>
    <w:rsid w:val="00EC0C4F"/>
    <w:rsid w:val="00EC1A65"/>
    <w:rsid w:val="00EC1F33"/>
    <w:rsid w:val="00EC26FD"/>
    <w:rsid w:val="00EC272E"/>
    <w:rsid w:val="00EC3224"/>
    <w:rsid w:val="00EC3CA9"/>
    <w:rsid w:val="00EC3F30"/>
    <w:rsid w:val="00EC4A6F"/>
    <w:rsid w:val="00EC5C61"/>
    <w:rsid w:val="00EC6B12"/>
    <w:rsid w:val="00EC7740"/>
    <w:rsid w:val="00EC782E"/>
    <w:rsid w:val="00EC7CCE"/>
    <w:rsid w:val="00ED0B57"/>
    <w:rsid w:val="00ED1331"/>
    <w:rsid w:val="00ED17EC"/>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539"/>
    <w:rsid w:val="00F01B41"/>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1F0A"/>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9A1"/>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3EF8"/>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76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58E"/>
    <w:rsid w:val="00F81ECD"/>
    <w:rsid w:val="00F81F88"/>
    <w:rsid w:val="00F82488"/>
    <w:rsid w:val="00F8252D"/>
    <w:rsid w:val="00F838AC"/>
    <w:rsid w:val="00F84652"/>
    <w:rsid w:val="00F84BF0"/>
    <w:rsid w:val="00F84F2C"/>
    <w:rsid w:val="00F85D6A"/>
    <w:rsid w:val="00F85F89"/>
    <w:rsid w:val="00F860A3"/>
    <w:rsid w:val="00F86135"/>
    <w:rsid w:val="00F87901"/>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B0A15"/>
    <w:rsid w:val="00FB0A8D"/>
    <w:rsid w:val="00FB0AAB"/>
    <w:rsid w:val="00FB173B"/>
    <w:rsid w:val="00FB3A7E"/>
    <w:rsid w:val="00FB4A5D"/>
    <w:rsid w:val="00FB4DAD"/>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23C"/>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34"/>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47"/>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18B7138-7B23-40EC-B471-A9231DDBF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4247</Words>
  <Characters>24213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4</cp:revision>
  <dcterms:created xsi:type="dcterms:W3CDTF">2023-09-29T15:10:00Z</dcterms:created>
  <dcterms:modified xsi:type="dcterms:W3CDTF">2023-09-29T19:09:00Z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